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707C" w:rsidRDefault="004E1D51" w:rsidP="005F7F82">
      <w:pPr>
        <w:jc w:val="center"/>
        <w:rPr>
          <w:b/>
          <w:bCs/>
          <w:sz w:val="30"/>
          <w:szCs w:val="30"/>
        </w:rPr>
      </w:pPr>
      <w:r>
        <w:rPr>
          <w:b/>
          <w:bCs/>
          <w:noProof/>
          <w:sz w:val="30"/>
          <w:szCs w:val="30"/>
          <w:lang w:val="fr-FR" w:eastAsia="fr-FR"/>
        </w:rPr>
        <w:drawing>
          <wp:anchor distT="0" distB="0" distL="114300" distR="114300" simplePos="0" relativeHeight="251658240" behindDoc="0" locked="0" layoutInCell="1" allowOverlap="1">
            <wp:simplePos x="0" y="0"/>
            <wp:positionH relativeFrom="column">
              <wp:posOffset>5294630</wp:posOffset>
            </wp:positionH>
            <wp:positionV relativeFrom="paragraph">
              <wp:posOffset>-429260</wp:posOffset>
            </wp:positionV>
            <wp:extent cx="954405" cy="991235"/>
            <wp:effectExtent l="19050" t="0" r="0" b="0"/>
            <wp:wrapSquare wrapText="bothSides"/>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a:stretch>
                      <a:fillRect/>
                    </a:stretch>
                  </pic:blipFill>
                  <pic:spPr bwMode="auto">
                    <a:xfrm>
                      <a:off x="0" y="0"/>
                      <a:ext cx="954405" cy="991235"/>
                    </a:xfrm>
                    <a:prstGeom prst="rect">
                      <a:avLst/>
                    </a:prstGeom>
                    <a:noFill/>
                    <a:ln w="9525">
                      <a:noFill/>
                      <a:miter lim="800000"/>
                      <a:headEnd/>
                      <a:tailEnd/>
                    </a:ln>
                  </pic:spPr>
                </pic:pic>
              </a:graphicData>
            </a:graphic>
          </wp:anchor>
        </w:drawing>
      </w:r>
    </w:p>
    <w:p w:rsidR="005F7F82" w:rsidRDefault="005F7F82" w:rsidP="005F7F82">
      <w:pPr>
        <w:jc w:val="center"/>
        <w:rPr>
          <w:b/>
          <w:bCs/>
          <w:sz w:val="30"/>
          <w:szCs w:val="30"/>
        </w:rPr>
      </w:pPr>
    </w:p>
    <w:p w:rsidR="005F7F82" w:rsidRDefault="005F7F82" w:rsidP="005F7F82">
      <w:pPr>
        <w:ind w:firstLine="142"/>
        <w:jc w:val="center"/>
        <w:rPr>
          <w:b/>
          <w:bCs/>
          <w:sz w:val="30"/>
          <w:szCs w:val="30"/>
        </w:rPr>
      </w:pPr>
    </w:p>
    <w:p w:rsidR="00704C84" w:rsidRPr="005F7F82" w:rsidRDefault="00704C84" w:rsidP="005F7F82">
      <w:pPr>
        <w:autoSpaceDE w:val="0"/>
        <w:autoSpaceDN w:val="0"/>
        <w:adjustRightInd w:val="0"/>
        <w:jc w:val="center"/>
        <w:rPr>
          <w:b/>
          <w:bCs/>
          <w:sz w:val="30"/>
          <w:szCs w:val="30"/>
        </w:rPr>
      </w:pPr>
      <w:r w:rsidRPr="005F7F82">
        <w:rPr>
          <w:b/>
          <w:bCs/>
          <w:sz w:val="30"/>
          <w:szCs w:val="30"/>
        </w:rPr>
        <w:t>Growth and Certain Biochemical Components of Black Cumin Cultivat</w:t>
      </w:r>
      <w:r w:rsidR="005F7F82">
        <w:rPr>
          <w:b/>
          <w:bCs/>
          <w:sz w:val="30"/>
          <w:szCs w:val="30"/>
        </w:rPr>
        <w:t>ed under Salinity Stress Factor</w:t>
      </w:r>
    </w:p>
    <w:p w:rsidR="00B6707C" w:rsidRDefault="00B6707C" w:rsidP="005F7F82">
      <w:pPr>
        <w:jc w:val="center"/>
        <w:rPr>
          <w:b/>
          <w:bCs/>
          <w:sz w:val="30"/>
          <w:szCs w:val="30"/>
        </w:rPr>
      </w:pPr>
    </w:p>
    <w:p w:rsidR="00B6707C" w:rsidRDefault="00B6707C" w:rsidP="005F7F82">
      <w:pPr>
        <w:jc w:val="center"/>
        <w:rPr>
          <w:b/>
          <w:bCs/>
          <w:sz w:val="26"/>
          <w:szCs w:val="26"/>
        </w:rPr>
      </w:pPr>
      <w:r>
        <w:rPr>
          <w:b/>
          <w:bCs/>
          <w:sz w:val="26"/>
          <w:szCs w:val="26"/>
          <w:vertAlign w:val="superscript"/>
        </w:rPr>
        <w:t>1</w:t>
      </w:r>
      <w:r>
        <w:rPr>
          <w:b/>
          <w:bCs/>
          <w:sz w:val="26"/>
          <w:szCs w:val="26"/>
        </w:rPr>
        <w:t>Khalid A Khalid</w:t>
      </w:r>
      <w:r>
        <w:rPr>
          <w:b/>
          <w:bCs/>
          <w:sz w:val="26"/>
          <w:szCs w:val="26"/>
          <w:vertAlign w:val="superscript"/>
        </w:rPr>
        <w:t>*</w:t>
      </w:r>
      <w:r>
        <w:rPr>
          <w:b/>
          <w:bCs/>
          <w:sz w:val="26"/>
          <w:szCs w:val="26"/>
        </w:rPr>
        <w:t xml:space="preserve">, </w:t>
      </w:r>
      <w:r>
        <w:rPr>
          <w:b/>
          <w:bCs/>
          <w:sz w:val="26"/>
          <w:szCs w:val="26"/>
          <w:vertAlign w:val="superscript"/>
        </w:rPr>
        <w:t>2</w:t>
      </w:r>
      <w:r>
        <w:rPr>
          <w:b/>
          <w:bCs/>
          <w:sz w:val="26"/>
          <w:szCs w:val="26"/>
        </w:rPr>
        <w:t>Aisha M A Ahmed</w:t>
      </w:r>
    </w:p>
    <w:p w:rsidR="00B6707C" w:rsidRDefault="00B6707C" w:rsidP="005F7F82">
      <w:pPr>
        <w:jc w:val="center"/>
        <w:rPr>
          <w:i/>
          <w:iCs/>
          <w:sz w:val="20"/>
          <w:szCs w:val="20"/>
        </w:rPr>
      </w:pPr>
      <w:r>
        <w:rPr>
          <w:i/>
          <w:iCs/>
          <w:sz w:val="20"/>
          <w:szCs w:val="20"/>
          <w:vertAlign w:val="superscript"/>
        </w:rPr>
        <w:t>1</w:t>
      </w:r>
      <w:r>
        <w:rPr>
          <w:i/>
          <w:iCs/>
          <w:sz w:val="20"/>
          <w:szCs w:val="20"/>
        </w:rPr>
        <w:t xml:space="preserve">Medicinal and Aromatic Plants Department, National Research Centre, El Buhouth St., 12311, Dokki, Cairo, </w:t>
      </w:r>
      <w:smartTag w:uri="urn:schemas-microsoft-com:office:smarttags" w:element="country-region">
        <w:smartTag w:uri="urn:schemas-microsoft-com:office:smarttags" w:element="place">
          <w:r>
            <w:rPr>
              <w:i/>
              <w:iCs/>
              <w:sz w:val="20"/>
              <w:szCs w:val="20"/>
            </w:rPr>
            <w:t>Egypt</w:t>
          </w:r>
        </w:smartTag>
      </w:smartTag>
      <w:r>
        <w:rPr>
          <w:i/>
          <w:iCs/>
          <w:sz w:val="20"/>
          <w:szCs w:val="20"/>
        </w:rPr>
        <w:t>.</w:t>
      </w:r>
    </w:p>
    <w:p w:rsidR="00B6707C" w:rsidRDefault="00B6707C" w:rsidP="005F7F82">
      <w:pPr>
        <w:jc w:val="center"/>
        <w:rPr>
          <w:i/>
          <w:iCs/>
          <w:sz w:val="20"/>
          <w:szCs w:val="20"/>
        </w:rPr>
      </w:pPr>
      <w:r>
        <w:rPr>
          <w:i/>
          <w:iCs/>
          <w:sz w:val="20"/>
          <w:szCs w:val="20"/>
          <w:vertAlign w:val="superscript"/>
        </w:rPr>
        <w:t>2</w:t>
      </w:r>
      <w:r>
        <w:rPr>
          <w:i/>
          <w:iCs/>
          <w:sz w:val="20"/>
          <w:szCs w:val="20"/>
        </w:rPr>
        <w:t xml:space="preserve">Botany Department, National Research Centre, </w:t>
      </w:r>
      <w:smartTag w:uri="urn:schemas-microsoft-com:office:smarttags" w:element="Street">
        <w:smartTag w:uri="urn:schemas-microsoft-com:office:smarttags" w:element="address">
          <w:r>
            <w:rPr>
              <w:i/>
              <w:iCs/>
              <w:sz w:val="20"/>
              <w:szCs w:val="20"/>
            </w:rPr>
            <w:t>El Buhouth St.</w:t>
          </w:r>
        </w:smartTag>
      </w:smartTag>
      <w:r>
        <w:rPr>
          <w:i/>
          <w:iCs/>
          <w:sz w:val="20"/>
          <w:szCs w:val="20"/>
        </w:rPr>
        <w:t xml:space="preserve">, 12311, Dokki, </w:t>
      </w:r>
      <w:smartTag w:uri="urn:schemas-microsoft-com:office:smarttags" w:element="place">
        <w:smartTag w:uri="urn:schemas-microsoft-com:office:smarttags" w:element="City">
          <w:r>
            <w:rPr>
              <w:i/>
              <w:iCs/>
              <w:sz w:val="20"/>
              <w:szCs w:val="20"/>
            </w:rPr>
            <w:t>Cairo</w:t>
          </w:r>
        </w:smartTag>
        <w:r>
          <w:rPr>
            <w:i/>
            <w:iCs/>
            <w:sz w:val="20"/>
            <w:szCs w:val="20"/>
          </w:rPr>
          <w:t xml:space="preserve">, </w:t>
        </w:r>
        <w:smartTag w:uri="urn:schemas-microsoft-com:office:smarttags" w:element="country-region">
          <w:r>
            <w:rPr>
              <w:i/>
              <w:iCs/>
              <w:sz w:val="20"/>
              <w:szCs w:val="20"/>
            </w:rPr>
            <w:t>Egypt</w:t>
          </w:r>
        </w:smartTag>
      </w:smartTag>
      <w:r>
        <w:rPr>
          <w:i/>
          <w:iCs/>
          <w:sz w:val="20"/>
          <w:szCs w:val="20"/>
        </w:rPr>
        <w:t>.</w:t>
      </w:r>
    </w:p>
    <w:p w:rsidR="005D0421" w:rsidRDefault="005D0421" w:rsidP="005F7F82">
      <w:pPr>
        <w:jc w:val="both"/>
        <w:rPr>
          <w:i/>
          <w:iCs/>
          <w:sz w:val="20"/>
          <w:szCs w:val="20"/>
        </w:rPr>
      </w:pPr>
    </w:p>
    <w:p w:rsidR="005D0421" w:rsidRPr="00CB36F0" w:rsidRDefault="005D0421" w:rsidP="005F7F82">
      <w:pPr>
        <w:pStyle w:val="Sansinterligne"/>
        <w:rPr>
          <w:rFonts w:ascii="Times New Roman" w:hAnsi="Times New Roman"/>
          <w:i/>
          <w:iCs/>
          <w:sz w:val="20"/>
          <w:szCs w:val="20"/>
        </w:rPr>
      </w:pPr>
      <w:r w:rsidRPr="00CB36F0">
        <w:rPr>
          <w:rFonts w:ascii="Times New Roman" w:hAnsi="Times New Roman"/>
          <w:i/>
          <w:iCs/>
          <w:sz w:val="20"/>
          <w:szCs w:val="20"/>
        </w:rPr>
        <w:t xml:space="preserve">Received </w:t>
      </w:r>
      <w:r>
        <w:rPr>
          <w:rFonts w:ascii="Times New Roman" w:hAnsi="Times New Roman"/>
          <w:i/>
          <w:iCs/>
          <w:sz w:val="20"/>
          <w:szCs w:val="20"/>
        </w:rPr>
        <w:t>23</w:t>
      </w:r>
      <w:r w:rsidRPr="00CB36F0">
        <w:rPr>
          <w:rFonts w:ascii="Times New Roman" w:hAnsi="Times New Roman"/>
          <w:i/>
          <w:iCs/>
          <w:sz w:val="20"/>
          <w:szCs w:val="20"/>
        </w:rPr>
        <w:t xml:space="preserve"> </w:t>
      </w:r>
      <w:r>
        <w:rPr>
          <w:rFonts w:ascii="Times New Roman" w:hAnsi="Times New Roman"/>
          <w:i/>
          <w:iCs/>
          <w:sz w:val="20"/>
          <w:szCs w:val="20"/>
        </w:rPr>
        <w:t>Jun</w:t>
      </w:r>
      <w:r w:rsidRPr="00CB36F0">
        <w:rPr>
          <w:rFonts w:ascii="Times New Roman" w:hAnsi="Times New Roman"/>
          <w:i/>
          <w:iCs/>
          <w:sz w:val="20"/>
          <w:szCs w:val="20"/>
        </w:rPr>
        <w:t xml:space="preserve"> 201</w:t>
      </w:r>
      <w:r>
        <w:rPr>
          <w:rFonts w:ascii="Times New Roman" w:hAnsi="Times New Roman"/>
          <w:i/>
          <w:iCs/>
          <w:sz w:val="20"/>
          <w:szCs w:val="20"/>
        </w:rPr>
        <w:t>6</w:t>
      </w:r>
      <w:r w:rsidRPr="00CB36F0">
        <w:rPr>
          <w:rFonts w:ascii="Times New Roman" w:hAnsi="Times New Roman"/>
          <w:i/>
          <w:iCs/>
          <w:sz w:val="20"/>
          <w:szCs w:val="20"/>
        </w:rPr>
        <w:t xml:space="preserve">, Revised </w:t>
      </w:r>
      <w:r>
        <w:rPr>
          <w:rFonts w:ascii="Times New Roman" w:hAnsi="Times New Roman"/>
          <w:i/>
          <w:iCs/>
          <w:sz w:val="20"/>
          <w:szCs w:val="20"/>
        </w:rPr>
        <w:t>03</w:t>
      </w:r>
      <w:r w:rsidRPr="00CB36F0">
        <w:rPr>
          <w:rFonts w:ascii="Times New Roman" w:hAnsi="Times New Roman"/>
          <w:i/>
          <w:iCs/>
          <w:sz w:val="20"/>
          <w:szCs w:val="20"/>
        </w:rPr>
        <w:t xml:space="preserve"> </w:t>
      </w:r>
      <w:r>
        <w:rPr>
          <w:rFonts w:ascii="Times New Roman" w:hAnsi="Times New Roman"/>
          <w:i/>
          <w:iCs/>
          <w:sz w:val="20"/>
          <w:szCs w:val="20"/>
        </w:rPr>
        <w:t>Oct</w:t>
      </w:r>
      <w:r w:rsidRPr="00CB36F0">
        <w:rPr>
          <w:rFonts w:ascii="Times New Roman" w:hAnsi="Times New Roman"/>
          <w:i/>
          <w:iCs/>
          <w:sz w:val="20"/>
          <w:szCs w:val="20"/>
        </w:rPr>
        <w:t xml:space="preserve"> 201</w:t>
      </w:r>
      <w:r>
        <w:rPr>
          <w:rFonts w:ascii="Times New Roman" w:hAnsi="Times New Roman"/>
          <w:i/>
          <w:iCs/>
          <w:sz w:val="20"/>
          <w:szCs w:val="20"/>
        </w:rPr>
        <w:t>6</w:t>
      </w:r>
      <w:r w:rsidRPr="00CB36F0">
        <w:rPr>
          <w:rFonts w:ascii="Times New Roman" w:hAnsi="Times New Roman"/>
          <w:i/>
          <w:iCs/>
          <w:sz w:val="20"/>
          <w:szCs w:val="20"/>
        </w:rPr>
        <w:t xml:space="preserve">, Accepted </w:t>
      </w:r>
      <w:r>
        <w:rPr>
          <w:rFonts w:ascii="Times New Roman" w:hAnsi="Times New Roman"/>
          <w:i/>
          <w:iCs/>
          <w:sz w:val="20"/>
          <w:szCs w:val="20"/>
        </w:rPr>
        <w:t>05</w:t>
      </w:r>
      <w:r w:rsidRPr="00CB36F0">
        <w:rPr>
          <w:rFonts w:ascii="Times New Roman" w:hAnsi="Times New Roman"/>
          <w:i/>
          <w:iCs/>
          <w:sz w:val="20"/>
          <w:szCs w:val="20"/>
        </w:rPr>
        <w:t xml:space="preserve"> </w:t>
      </w:r>
      <w:r>
        <w:rPr>
          <w:rFonts w:ascii="Times New Roman" w:hAnsi="Times New Roman"/>
          <w:i/>
          <w:iCs/>
          <w:sz w:val="20"/>
          <w:szCs w:val="20"/>
        </w:rPr>
        <w:t xml:space="preserve">Oct </w:t>
      </w:r>
      <w:r w:rsidRPr="00CB36F0">
        <w:rPr>
          <w:rFonts w:ascii="Times New Roman" w:hAnsi="Times New Roman"/>
          <w:i/>
          <w:iCs/>
          <w:sz w:val="20"/>
          <w:szCs w:val="20"/>
        </w:rPr>
        <w:t>201</w:t>
      </w:r>
      <w:r>
        <w:rPr>
          <w:rFonts w:ascii="Times New Roman" w:hAnsi="Times New Roman"/>
          <w:i/>
          <w:iCs/>
          <w:sz w:val="20"/>
          <w:szCs w:val="20"/>
        </w:rPr>
        <w:t>6</w:t>
      </w:r>
    </w:p>
    <w:p w:rsidR="00B6707C" w:rsidRPr="005D0421" w:rsidRDefault="005D0421" w:rsidP="005F7F82">
      <w:pPr>
        <w:jc w:val="both"/>
        <w:rPr>
          <w:i/>
          <w:sz w:val="20"/>
          <w:szCs w:val="20"/>
        </w:rPr>
      </w:pPr>
      <w:r w:rsidRPr="005D0421">
        <w:rPr>
          <w:i/>
          <w:iCs/>
          <w:sz w:val="20"/>
          <w:szCs w:val="20"/>
        </w:rPr>
        <w:t xml:space="preserve">*For correspondence: Email: </w:t>
      </w:r>
      <w:hyperlink r:id="rId8" w:history="1">
        <w:r w:rsidR="00B6707C" w:rsidRPr="005D0421">
          <w:rPr>
            <w:rStyle w:val="Lienhypertexte"/>
            <w:i/>
            <w:sz w:val="20"/>
            <w:szCs w:val="20"/>
          </w:rPr>
          <w:t>ahmed490@gmail.com</w:t>
        </w:r>
      </w:hyperlink>
      <w:r w:rsidR="00B6707C" w:rsidRPr="005D0421">
        <w:rPr>
          <w:i/>
          <w:sz w:val="20"/>
          <w:szCs w:val="20"/>
        </w:rPr>
        <w:t xml:space="preserve">   </w:t>
      </w:r>
    </w:p>
    <w:p w:rsidR="00B6707C" w:rsidRDefault="00B6707C" w:rsidP="005F7F82">
      <w:pPr>
        <w:rPr>
          <w:b/>
          <w:bCs/>
          <w:sz w:val="22"/>
          <w:szCs w:val="22"/>
        </w:rPr>
      </w:pPr>
    </w:p>
    <w:p w:rsidR="00B6707C" w:rsidRDefault="00B6707C" w:rsidP="005F7F82">
      <w:pPr>
        <w:rPr>
          <w:b/>
          <w:bCs/>
        </w:rPr>
      </w:pPr>
      <w:r>
        <w:rPr>
          <w:b/>
          <w:bCs/>
        </w:rPr>
        <w:t xml:space="preserve">Abstract </w:t>
      </w:r>
    </w:p>
    <w:p w:rsidR="00B6707C" w:rsidRDefault="00B6707C" w:rsidP="005F7F82">
      <w:pPr>
        <w:autoSpaceDE w:val="0"/>
        <w:autoSpaceDN w:val="0"/>
        <w:adjustRightInd w:val="0"/>
        <w:jc w:val="both"/>
        <w:rPr>
          <w:sz w:val="22"/>
          <w:szCs w:val="22"/>
        </w:rPr>
      </w:pPr>
      <w:r>
        <w:rPr>
          <w:sz w:val="22"/>
          <w:szCs w:val="22"/>
        </w:rPr>
        <w:t xml:space="preserve">Black cumin used as a spice, food additive and medicinal proposes. </w:t>
      </w:r>
      <w:r>
        <w:rPr>
          <w:iCs/>
          <w:sz w:val="22"/>
          <w:szCs w:val="22"/>
        </w:rPr>
        <w:t xml:space="preserve">Cultivation of resistant plants is one way to utilize arid zones in </w:t>
      </w:r>
      <w:smartTag w:uri="urn:schemas-microsoft-com:office:smarttags" w:element="place">
        <w:smartTag w:uri="urn:schemas-microsoft-com:office:smarttags" w:element="country-region">
          <w:r>
            <w:rPr>
              <w:iCs/>
              <w:sz w:val="22"/>
              <w:szCs w:val="22"/>
            </w:rPr>
            <w:t>Egypt</w:t>
          </w:r>
        </w:smartTag>
      </w:smartTag>
      <w:r>
        <w:rPr>
          <w:iCs/>
          <w:sz w:val="22"/>
          <w:szCs w:val="22"/>
        </w:rPr>
        <w:t xml:space="preserve">. </w:t>
      </w:r>
      <w:r>
        <w:rPr>
          <w:sz w:val="22"/>
          <w:szCs w:val="22"/>
        </w:rPr>
        <w:t xml:space="preserve">So, an attempt was made to follow </w:t>
      </w:r>
      <w:r>
        <w:rPr>
          <w:rStyle w:val="apple-converted-space"/>
          <w:sz w:val="22"/>
          <w:szCs w:val="22"/>
          <w:shd w:val="clear" w:color="auto" w:fill="FFFFFF"/>
        </w:rPr>
        <w:t xml:space="preserve">the effects of </w:t>
      </w:r>
      <w:r>
        <w:rPr>
          <w:sz w:val="22"/>
          <w:szCs w:val="22"/>
        </w:rPr>
        <w:t>salt conditions on growth and some biochemical constituents of</w:t>
      </w:r>
      <w:r>
        <w:rPr>
          <w:i/>
          <w:iCs/>
          <w:sz w:val="22"/>
          <w:szCs w:val="22"/>
        </w:rPr>
        <w:t xml:space="preserve"> </w:t>
      </w:r>
      <w:r>
        <w:rPr>
          <w:sz w:val="22"/>
          <w:szCs w:val="22"/>
        </w:rPr>
        <w:t>black cumin. Black cumin plants were subjected to different levels of NaCl salt, i.e. 0.4, 1.6, 3.1, 4.7 and 6.3 dS m</w:t>
      </w:r>
      <w:r>
        <w:rPr>
          <w:sz w:val="22"/>
          <w:szCs w:val="22"/>
          <w:vertAlign w:val="superscript"/>
        </w:rPr>
        <w:t>−1</w:t>
      </w:r>
      <w:r>
        <w:rPr>
          <w:sz w:val="22"/>
          <w:szCs w:val="22"/>
        </w:rPr>
        <w:t>. Plant growth characters (PGC) i.e. plant height, PH (cm), number of leaves, NL (plant</w:t>
      </w:r>
      <w:r>
        <w:rPr>
          <w:sz w:val="22"/>
          <w:szCs w:val="22"/>
          <w:vertAlign w:val="superscript"/>
        </w:rPr>
        <w:t>1</w:t>
      </w:r>
      <w:r>
        <w:rPr>
          <w:sz w:val="22"/>
          <w:szCs w:val="22"/>
        </w:rPr>
        <w:t>), number of branches, NB (plant</w:t>
      </w:r>
      <w:r>
        <w:rPr>
          <w:sz w:val="22"/>
          <w:szCs w:val="22"/>
          <w:vertAlign w:val="superscript"/>
        </w:rPr>
        <w:t>1</w:t>
      </w:r>
      <w:r>
        <w:rPr>
          <w:sz w:val="22"/>
          <w:szCs w:val="22"/>
        </w:rPr>
        <w:t>), number of capsules, NC (plant</w:t>
      </w:r>
      <w:r>
        <w:rPr>
          <w:sz w:val="22"/>
          <w:szCs w:val="22"/>
          <w:vertAlign w:val="superscript"/>
        </w:rPr>
        <w:t>1</w:t>
      </w:r>
      <w:r>
        <w:rPr>
          <w:sz w:val="22"/>
          <w:szCs w:val="22"/>
        </w:rPr>
        <w:t>) dry weight of herb (DWH) and yield of seeds, (YS) (plant</w:t>
      </w:r>
      <w:r>
        <w:rPr>
          <w:sz w:val="22"/>
          <w:szCs w:val="22"/>
          <w:vertAlign w:val="superscript"/>
        </w:rPr>
        <w:t>1</w:t>
      </w:r>
      <w:r>
        <w:rPr>
          <w:sz w:val="22"/>
          <w:szCs w:val="22"/>
        </w:rPr>
        <w:t xml:space="preserve">) were decreased as salinity level increased. The biochemical contents such as essential oil (EO), major constituents of EO (p-cymene, α-thujene and γ-terpinene), total soluble sugars (TSS) and proline (PRO) were promoted under salinity treatments while nitrogen (N) and crude protein (CP) were decreased. Greatest </w:t>
      </w:r>
      <w:r>
        <w:rPr>
          <w:sz w:val="22"/>
          <w:szCs w:val="22"/>
          <w:lang w:eastAsia="ja-JP"/>
        </w:rPr>
        <w:t>PGC</w:t>
      </w:r>
      <w:r>
        <w:rPr>
          <w:sz w:val="22"/>
          <w:szCs w:val="22"/>
        </w:rPr>
        <w:t xml:space="preserve"> for all variables were obtained </w:t>
      </w:r>
      <w:r>
        <w:rPr>
          <w:sz w:val="22"/>
          <w:szCs w:val="22"/>
          <w:lang w:eastAsia="ja-JP"/>
        </w:rPr>
        <w:t>in the</w:t>
      </w:r>
      <w:r>
        <w:rPr>
          <w:sz w:val="22"/>
          <w:szCs w:val="22"/>
        </w:rPr>
        <w:t xml:space="preserve"> 0.4 dSm</w:t>
      </w:r>
      <w:r>
        <w:rPr>
          <w:sz w:val="22"/>
          <w:szCs w:val="22"/>
          <w:vertAlign w:val="superscript"/>
        </w:rPr>
        <w:t>-1</w:t>
      </w:r>
      <w:r>
        <w:rPr>
          <w:sz w:val="22"/>
          <w:szCs w:val="22"/>
        </w:rPr>
        <w:t xml:space="preserve"> treatment with the values of 16.5, 43.9, 4.6, 8.5, 20.8 and 4.4 respectively. The highest values of EO (0.4%), p-cymene (60.3%), α-thujene (7.2%), γ-terpinene (1.5 %), PRO content (23.1 µm g</w:t>
      </w:r>
      <w:r>
        <w:rPr>
          <w:sz w:val="22"/>
          <w:szCs w:val="22"/>
          <w:vertAlign w:val="superscript"/>
        </w:rPr>
        <w:t>-1</w:t>
      </w:r>
      <w:r>
        <w:rPr>
          <w:sz w:val="22"/>
          <w:szCs w:val="22"/>
        </w:rPr>
        <w:t xml:space="preserve">) and TSS </w:t>
      </w:r>
      <w:r>
        <w:rPr>
          <w:sz w:val="22"/>
          <w:szCs w:val="22"/>
          <w:lang w:eastAsia="ja-JP"/>
        </w:rPr>
        <w:t xml:space="preserve">(11.8%) </w:t>
      </w:r>
      <w:r>
        <w:rPr>
          <w:sz w:val="22"/>
          <w:szCs w:val="22"/>
        </w:rPr>
        <w:t>were obtained from the 6.3 dSm</w:t>
      </w:r>
      <w:r>
        <w:rPr>
          <w:sz w:val="22"/>
          <w:szCs w:val="22"/>
          <w:vertAlign w:val="superscript"/>
        </w:rPr>
        <w:t>-1</w:t>
      </w:r>
      <w:r>
        <w:rPr>
          <w:sz w:val="22"/>
          <w:szCs w:val="22"/>
        </w:rPr>
        <w:t xml:space="preserve"> treatment. The highest values of N uptake and CP (0.4 µm g</w:t>
      </w:r>
      <w:r>
        <w:rPr>
          <w:sz w:val="22"/>
          <w:szCs w:val="22"/>
          <w:vertAlign w:val="superscript"/>
        </w:rPr>
        <w:t>-1</w:t>
      </w:r>
      <w:r>
        <w:rPr>
          <w:sz w:val="22"/>
          <w:szCs w:val="22"/>
        </w:rPr>
        <w:t xml:space="preserve"> and 16.5%) were recorded with 0.4 dSm</w:t>
      </w:r>
      <w:r>
        <w:rPr>
          <w:sz w:val="22"/>
          <w:szCs w:val="22"/>
          <w:vertAlign w:val="superscript"/>
        </w:rPr>
        <w:t>-1</w:t>
      </w:r>
      <w:r>
        <w:rPr>
          <w:sz w:val="22"/>
          <w:szCs w:val="22"/>
        </w:rPr>
        <w:t xml:space="preserve"> treatment. </w:t>
      </w:r>
    </w:p>
    <w:p w:rsidR="00B6707C" w:rsidRDefault="00B6707C" w:rsidP="005F7F82">
      <w:pPr>
        <w:autoSpaceDE w:val="0"/>
        <w:autoSpaceDN w:val="0"/>
        <w:adjustRightInd w:val="0"/>
        <w:jc w:val="both"/>
        <w:rPr>
          <w:b/>
          <w:bCs/>
        </w:rPr>
      </w:pPr>
    </w:p>
    <w:p w:rsidR="00B6707C" w:rsidRPr="005F7F82" w:rsidRDefault="00B6707C" w:rsidP="005F7F82">
      <w:pPr>
        <w:autoSpaceDE w:val="0"/>
        <w:autoSpaceDN w:val="0"/>
        <w:adjustRightInd w:val="0"/>
        <w:ind w:left="720" w:hanging="720"/>
        <w:jc w:val="both"/>
        <w:rPr>
          <w:sz w:val="22"/>
          <w:szCs w:val="22"/>
        </w:rPr>
      </w:pPr>
      <w:r w:rsidRPr="005F7F82">
        <w:rPr>
          <w:i/>
          <w:iCs/>
          <w:sz w:val="22"/>
          <w:szCs w:val="22"/>
        </w:rPr>
        <w:t>Key words:</w:t>
      </w:r>
      <w:r w:rsidRPr="005F7F82">
        <w:rPr>
          <w:iCs/>
          <w:sz w:val="22"/>
          <w:szCs w:val="22"/>
        </w:rPr>
        <w:t xml:space="preserve"> </w:t>
      </w:r>
      <w:r w:rsidRPr="005F7F82">
        <w:rPr>
          <w:sz w:val="22"/>
          <w:szCs w:val="22"/>
        </w:rPr>
        <w:t>Black cumin</w:t>
      </w:r>
      <w:r w:rsidRPr="005F7F82">
        <w:rPr>
          <w:i/>
          <w:iCs/>
          <w:sz w:val="22"/>
          <w:szCs w:val="22"/>
        </w:rPr>
        <w:t xml:space="preserve"> </w:t>
      </w:r>
      <w:r w:rsidRPr="005F7F82">
        <w:rPr>
          <w:sz w:val="22"/>
          <w:szCs w:val="22"/>
        </w:rPr>
        <w:t>(</w:t>
      </w:r>
      <w:r w:rsidRPr="005F7F82">
        <w:rPr>
          <w:i/>
          <w:iCs/>
          <w:sz w:val="22"/>
          <w:szCs w:val="22"/>
        </w:rPr>
        <w:t xml:space="preserve">Nigella sativa </w:t>
      </w:r>
      <w:r w:rsidRPr="005F7F82">
        <w:rPr>
          <w:sz w:val="22"/>
          <w:szCs w:val="22"/>
        </w:rPr>
        <w:t>L)</w:t>
      </w:r>
      <w:r w:rsidRPr="005F7F82">
        <w:rPr>
          <w:i/>
          <w:iCs/>
          <w:sz w:val="22"/>
          <w:szCs w:val="22"/>
        </w:rPr>
        <w:t xml:space="preserve">, </w:t>
      </w:r>
      <w:r w:rsidRPr="005F7F82">
        <w:rPr>
          <w:sz w:val="22"/>
          <w:szCs w:val="22"/>
        </w:rPr>
        <w:t>Plant growth characters, Nitrogen, Essential oils, Proline, Total soluble sugars, Crude protein.</w:t>
      </w:r>
    </w:p>
    <w:p w:rsidR="00B6707C" w:rsidRPr="005F7F82" w:rsidRDefault="00B6707C" w:rsidP="005F7F82">
      <w:pPr>
        <w:autoSpaceDE w:val="0"/>
        <w:autoSpaceDN w:val="0"/>
        <w:adjustRightInd w:val="0"/>
        <w:ind w:left="720" w:hanging="720"/>
        <w:jc w:val="both"/>
        <w:rPr>
          <w:bCs/>
          <w:sz w:val="22"/>
          <w:szCs w:val="22"/>
        </w:rPr>
      </w:pPr>
    </w:p>
    <w:p w:rsidR="00B6707C" w:rsidRPr="005F7F82" w:rsidRDefault="00B6707C" w:rsidP="005F7F82">
      <w:pPr>
        <w:autoSpaceDE w:val="0"/>
        <w:autoSpaceDN w:val="0"/>
        <w:adjustRightInd w:val="0"/>
        <w:jc w:val="lowKashida"/>
        <w:rPr>
          <w:b/>
          <w:bCs/>
          <w:sz w:val="22"/>
          <w:szCs w:val="22"/>
        </w:rPr>
      </w:pPr>
      <w:r w:rsidRPr="005F7F82">
        <w:rPr>
          <w:b/>
          <w:bCs/>
        </w:rPr>
        <w:t xml:space="preserve">1. Introduction </w:t>
      </w:r>
    </w:p>
    <w:p w:rsidR="00B6707C" w:rsidRPr="004A2F83" w:rsidRDefault="00B6707C" w:rsidP="005F7F82">
      <w:pPr>
        <w:autoSpaceDE w:val="0"/>
        <w:autoSpaceDN w:val="0"/>
        <w:adjustRightInd w:val="0"/>
        <w:jc w:val="lowKashida"/>
        <w:rPr>
          <w:caps/>
          <w:sz w:val="22"/>
          <w:szCs w:val="22"/>
        </w:rPr>
      </w:pPr>
      <w:r w:rsidRPr="005F7F82">
        <w:rPr>
          <w:sz w:val="22"/>
          <w:szCs w:val="22"/>
        </w:rPr>
        <w:t>Black cumin</w:t>
      </w:r>
      <w:r w:rsidRPr="005F7F82">
        <w:rPr>
          <w:i/>
          <w:iCs/>
          <w:sz w:val="22"/>
          <w:szCs w:val="22"/>
        </w:rPr>
        <w:t xml:space="preserve"> </w:t>
      </w:r>
      <w:r w:rsidRPr="005F7F82">
        <w:rPr>
          <w:sz w:val="22"/>
          <w:szCs w:val="22"/>
        </w:rPr>
        <w:t>(</w:t>
      </w:r>
      <w:r w:rsidRPr="005F7F82">
        <w:rPr>
          <w:i/>
          <w:iCs/>
          <w:sz w:val="22"/>
          <w:szCs w:val="22"/>
        </w:rPr>
        <w:t>Nigella sativa</w:t>
      </w:r>
      <w:r w:rsidRPr="005F7F82">
        <w:rPr>
          <w:sz w:val="22"/>
          <w:szCs w:val="22"/>
        </w:rPr>
        <w:t xml:space="preserve"> L.) belongs to family </w:t>
      </w:r>
      <w:r w:rsidRPr="005F7F82">
        <w:rPr>
          <w:i/>
          <w:iCs/>
          <w:sz w:val="22"/>
          <w:szCs w:val="22"/>
        </w:rPr>
        <w:t>Ranunculaceae</w:t>
      </w:r>
      <w:r w:rsidRPr="005F7F82">
        <w:rPr>
          <w:sz w:val="22"/>
          <w:szCs w:val="22"/>
        </w:rPr>
        <w:t>, it used as a spice, food additive (or food</w:t>
      </w:r>
      <w:r>
        <w:rPr>
          <w:sz w:val="22"/>
          <w:szCs w:val="22"/>
        </w:rPr>
        <w:t xml:space="preserve"> preservative) and medicinal </w:t>
      </w:r>
      <w:r w:rsidRPr="004A2F83">
        <w:rPr>
          <w:sz w:val="22"/>
          <w:szCs w:val="22"/>
        </w:rPr>
        <w:t>proposes [1-2].</w:t>
      </w:r>
    </w:p>
    <w:p w:rsidR="00B6707C" w:rsidRPr="004A2F83" w:rsidRDefault="00B6707C" w:rsidP="005F7F82">
      <w:pPr>
        <w:autoSpaceDE w:val="0"/>
        <w:autoSpaceDN w:val="0"/>
        <w:adjustRightInd w:val="0"/>
        <w:jc w:val="lowKashida"/>
        <w:rPr>
          <w:sz w:val="22"/>
          <w:szCs w:val="22"/>
        </w:rPr>
      </w:pPr>
      <w:r w:rsidRPr="004A2F83">
        <w:rPr>
          <w:sz w:val="22"/>
          <w:szCs w:val="22"/>
        </w:rPr>
        <w:t>Major efforts to breed for traits that confer tolerance of drought, cold, heat, nutrient and salinity stress are already made each year throughout the world. An understanding of the mechanisms that regulate form and function and the significance of those processes to plant physiology, ecology and agriculture must include knowledge of plant stress physiology [3]. Agricultural productivity was affected by salinity stress conditions. Salinity stress has an effect on current plants and positive barriers to the introduction of plants into areas that are not currently being used for agriculture [3].</w:t>
      </w:r>
    </w:p>
    <w:p w:rsidR="00B6707C" w:rsidRPr="004A2F83" w:rsidRDefault="00B6707C" w:rsidP="005F7F82">
      <w:pPr>
        <w:autoSpaceDE w:val="0"/>
        <w:autoSpaceDN w:val="0"/>
        <w:adjustRightInd w:val="0"/>
        <w:jc w:val="lowKashida"/>
        <w:rPr>
          <w:sz w:val="22"/>
          <w:szCs w:val="22"/>
        </w:rPr>
      </w:pPr>
      <w:r w:rsidRPr="004A2F83">
        <w:rPr>
          <w:sz w:val="22"/>
          <w:szCs w:val="22"/>
        </w:rPr>
        <w:t>The effects of salinity stress on black cumin were reported by some previous investigators. PGC, YS, N and CP of black cumin were decreased with salinity treatments but TSS and PRO contents were increased [4-6]. Salinity dose (0.3%) caused a significant reduction in seed germination, PGC, YS, oils, carbohydrates and water content of</w:t>
      </w:r>
      <w:r w:rsidRPr="004A2F83">
        <w:rPr>
          <w:i/>
          <w:iCs/>
          <w:sz w:val="22"/>
          <w:szCs w:val="22"/>
        </w:rPr>
        <w:t xml:space="preserve"> </w:t>
      </w:r>
      <w:r w:rsidRPr="004A2F83">
        <w:rPr>
          <w:sz w:val="22"/>
          <w:szCs w:val="22"/>
        </w:rPr>
        <w:t xml:space="preserve">black cumin [7-9]. </w:t>
      </w:r>
    </w:p>
    <w:p w:rsidR="00B6707C" w:rsidRPr="004A2F83" w:rsidRDefault="00B6707C" w:rsidP="005F7F82">
      <w:pPr>
        <w:autoSpaceDE w:val="0"/>
        <w:autoSpaceDN w:val="0"/>
        <w:adjustRightInd w:val="0"/>
        <w:jc w:val="lowKashida"/>
        <w:rPr>
          <w:sz w:val="22"/>
          <w:szCs w:val="22"/>
        </w:rPr>
      </w:pPr>
      <w:r w:rsidRPr="009D1B77">
        <w:rPr>
          <w:sz w:val="22"/>
          <w:szCs w:val="22"/>
        </w:rPr>
        <w:t>On the other hand the</w:t>
      </w:r>
      <w:r>
        <w:rPr>
          <w:sz w:val="22"/>
          <w:szCs w:val="22"/>
        </w:rPr>
        <w:t xml:space="preserve"> influences of salinity on morphological and biochemical accumulation on medicinal plants were investigated. Morphological characters, N and CP content were reduced in response to stress conditions (salinity and drought) while EO, major constituents of EO and carbohydrates were </w:t>
      </w:r>
      <w:r w:rsidRPr="004A2F83">
        <w:rPr>
          <w:sz w:val="22"/>
          <w:szCs w:val="22"/>
        </w:rPr>
        <w:t xml:space="preserve">increased in </w:t>
      </w:r>
      <w:r w:rsidRPr="004A2F83">
        <w:rPr>
          <w:i/>
          <w:iCs/>
          <w:sz w:val="22"/>
          <w:szCs w:val="22"/>
          <w:lang w:eastAsia="ja-JP"/>
        </w:rPr>
        <w:t>S</w:t>
      </w:r>
      <w:r w:rsidRPr="004A2F83">
        <w:rPr>
          <w:i/>
          <w:iCs/>
          <w:sz w:val="22"/>
          <w:szCs w:val="22"/>
        </w:rPr>
        <w:t xml:space="preserve">alvia officinalis </w:t>
      </w:r>
      <w:r w:rsidRPr="004A2F83">
        <w:rPr>
          <w:sz w:val="22"/>
          <w:szCs w:val="22"/>
        </w:rPr>
        <w:t>and</w:t>
      </w:r>
      <w:r w:rsidRPr="004A2F83">
        <w:rPr>
          <w:i/>
          <w:iCs/>
          <w:sz w:val="22"/>
          <w:szCs w:val="22"/>
        </w:rPr>
        <w:t xml:space="preserve"> Melissa officinalis </w:t>
      </w:r>
      <w:r w:rsidRPr="004A2F83">
        <w:rPr>
          <w:sz w:val="22"/>
          <w:szCs w:val="22"/>
        </w:rPr>
        <w:t>L. [10-11]. Salinity stress resulted in a significant reduction in the PGC and EO content of chamomile, coriander and sage plants</w:t>
      </w:r>
      <w:r w:rsidRPr="004A2F83">
        <w:rPr>
          <w:sz w:val="22"/>
          <w:szCs w:val="22"/>
          <w:shd w:val="clear" w:color="auto" w:fill="FFFFFF"/>
        </w:rPr>
        <w:t xml:space="preserve"> </w:t>
      </w:r>
      <w:r w:rsidRPr="004A2F83">
        <w:rPr>
          <w:sz w:val="22"/>
          <w:szCs w:val="22"/>
        </w:rPr>
        <w:t>[12 - 14]</w:t>
      </w:r>
      <w:r w:rsidRPr="004A2F83">
        <w:rPr>
          <w:sz w:val="22"/>
          <w:szCs w:val="22"/>
          <w:shd w:val="clear" w:color="auto" w:fill="FFFFFF"/>
        </w:rPr>
        <w:t>.</w:t>
      </w:r>
    </w:p>
    <w:p w:rsidR="00B6707C" w:rsidRPr="005F7F82" w:rsidRDefault="00B6707C" w:rsidP="005F7F82">
      <w:pPr>
        <w:autoSpaceDE w:val="0"/>
        <w:autoSpaceDN w:val="0"/>
        <w:adjustRightInd w:val="0"/>
        <w:jc w:val="both"/>
        <w:rPr>
          <w:rStyle w:val="apple-converted-space"/>
          <w:sz w:val="22"/>
          <w:szCs w:val="22"/>
          <w:shd w:val="clear" w:color="auto" w:fill="FFFFFF"/>
        </w:rPr>
      </w:pPr>
      <w:r w:rsidRPr="004A2F83">
        <w:rPr>
          <w:sz w:val="22"/>
          <w:szCs w:val="22"/>
          <w:shd w:val="clear" w:color="auto" w:fill="FFFFFF"/>
        </w:rPr>
        <w:lastRenderedPageBreak/>
        <w:t>Most of agricultural soil (</w:t>
      </w:r>
      <w:r w:rsidRPr="004A2F83">
        <w:rPr>
          <w:iCs/>
          <w:sz w:val="22"/>
          <w:szCs w:val="22"/>
        </w:rPr>
        <w:t>90%</w:t>
      </w:r>
      <w:r w:rsidRPr="004A2F83">
        <w:rPr>
          <w:sz w:val="22"/>
          <w:szCs w:val="22"/>
          <w:shd w:val="clear" w:color="auto" w:fill="FFFFFF"/>
        </w:rPr>
        <w:t xml:space="preserve">) in </w:t>
      </w:r>
      <w:smartTag w:uri="urn:schemas-microsoft-com:office:smarttags" w:element="place">
        <w:smartTag w:uri="urn:schemas-microsoft-com:office:smarttags" w:element="country-region">
          <w:r w:rsidRPr="004A2F83">
            <w:rPr>
              <w:sz w:val="22"/>
              <w:szCs w:val="22"/>
              <w:shd w:val="clear" w:color="auto" w:fill="FFFFFF"/>
            </w:rPr>
            <w:t>Egypt</w:t>
          </w:r>
        </w:smartTag>
      </w:smartTag>
      <w:r w:rsidRPr="004A2F83">
        <w:rPr>
          <w:sz w:val="22"/>
          <w:szCs w:val="22"/>
          <w:shd w:val="clear" w:color="auto" w:fill="FFFFFF"/>
        </w:rPr>
        <w:t xml:space="preserve"> subjected to arid or semi arid zones and the water availability (water has salt) is a basic problem for medicinal plants production. </w:t>
      </w:r>
      <w:r w:rsidRPr="004A2F83">
        <w:rPr>
          <w:iCs/>
          <w:sz w:val="22"/>
          <w:szCs w:val="22"/>
        </w:rPr>
        <w:t xml:space="preserve">In such conditions cultivation of resistant crops is one way to utilize these lands and therefore the selection of suitable plants, which could cope with these conditions, is </w:t>
      </w:r>
      <w:r w:rsidRPr="005F7F82">
        <w:rPr>
          <w:iCs/>
          <w:sz w:val="22"/>
          <w:szCs w:val="22"/>
        </w:rPr>
        <w:t xml:space="preserve">a necessity </w:t>
      </w:r>
      <w:r w:rsidRPr="005F7F82">
        <w:rPr>
          <w:sz w:val="22"/>
          <w:szCs w:val="22"/>
        </w:rPr>
        <w:t>[15]</w:t>
      </w:r>
      <w:r w:rsidRPr="005F7F82">
        <w:rPr>
          <w:sz w:val="22"/>
          <w:szCs w:val="22"/>
          <w:shd w:val="clear" w:color="auto" w:fill="FFFFFF"/>
        </w:rPr>
        <w:t xml:space="preserve">. </w:t>
      </w:r>
      <w:r w:rsidRPr="005F7F82">
        <w:rPr>
          <w:sz w:val="22"/>
          <w:szCs w:val="22"/>
        </w:rPr>
        <w:t xml:space="preserve">Therefore, an attempt was made to follow </w:t>
      </w:r>
      <w:r w:rsidRPr="005F7F82">
        <w:rPr>
          <w:rStyle w:val="apple-converted-space"/>
          <w:sz w:val="22"/>
          <w:szCs w:val="22"/>
          <w:shd w:val="clear" w:color="auto" w:fill="FFFFFF"/>
        </w:rPr>
        <w:t xml:space="preserve">the effects of </w:t>
      </w:r>
      <w:r w:rsidRPr="005F7F82">
        <w:rPr>
          <w:sz w:val="22"/>
          <w:szCs w:val="22"/>
        </w:rPr>
        <w:t>salinity stress on growth and some biochemical constituents of</w:t>
      </w:r>
      <w:r w:rsidRPr="005F7F82">
        <w:rPr>
          <w:i/>
          <w:iCs/>
          <w:sz w:val="22"/>
          <w:szCs w:val="22"/>
        </w:rPr>
        <w:t xml:space="preserve"> </w:t>
      </w:r>
      <w:r w:rsidRPr="005F7F82">
        <w:rPr>
          <w:sz w:val="22"/>
          <w:szCs w:val="22"/>
        </w:rPr>
        <w:t>black cumin.</w:t>
      </w:r>
    </w:p>
    <w:p w:rsidR="00B6707C" w:rsidRDefault="00B6707C" w:rsidP="005F7F82">
      <w:pPr>
        <w:autoSpaceDE w:val="0"/>
        <w:autoSpaceDN w:val="0"/>
        <w:adjustRightInd w:val="0"/>
        <w:jc w:val="both"/>
        <w:rPr>
          <w:b/>
          <w:bCs/>
        </w:rPr>
      </w:pPr>
    </w:p>
    <w:p w:rsidR="00AB2250" w:rsidRPr="005F7F82" w:rsidRDefault="00AB2250" w:rsidP="005F7F82">
      <w:pPr>
        <w:autoSpaceDE w:val="0"/>
        <w:autoSpaceDN w:val="0"/>
        <w:adjustRightInd w:val="0"/>
        <w:jc w:val="both"/>
        <w:rPr>
          <w:b/>
          <w:bCs/>
        </w:rPr>
      </w:pPr>
    </w:p>
    <w:p w:rsidR="00B6707C" w:rsidRPr="005F7F82" w:rsidRDefault="00B6707C" w:rsidP="005F7F82">
      <w:pPr>
        <w:autoSpaceDE w:val="0"/>
        <w:autoSpaceDN w:val="0"/>
        <w:adjustRightInd w:val="0"/>
        <w:jc w:val="both"/>
        <w:rPr>
          <w:b/>
          <w:bCs/>
        </w:rPr>
      </w:pPr>
      <w:r w:rsidRPr="005F7F82">
        <w:rPr>
          <w:b/>
          <w:bCs/>
        </w:rPr>
        <w:t>2. Materials and methods</w:t>
      </w:r>
    </w:p>
    <w:p w:rsidR="00B6707C" w:rsidRPr="005F7F82" w:rsidRDefault="00B6707C" w:rsidP="005F7F82">
      <w:pPr>
        <w:pStyle w:val="Commentaire"/>
      </w:pPr>
      <w:r w:rsidRPr="005F7F82">
        <w:rPr>
          <w:i/>
          <w:iCs/>
          <w:sz w:val="22"/>
          <w:szCs w:val="22"/>
        </w:rPr>
        <w:t>2.1. Plan, site and methodology</w:t>
      </w:r>
      <w:r w:rsidRPr="005F7F82">
        <w:t xml:space="preserve"> </w:t>
      </w:r>
    </w:p>
    <w:p w:rsidR="00B6707C" w:rsidRDefault="00B6707C" w:rsidP="005F7F82">
      <w:pPr>
        <w:autoSpaceDE w:val="0"/>
        <w:autoSpaceDN w:val="0"/>
        <w:adjustRightInd w:val="0"/>
        <w:jc w:val="both"/>
        <w:rPr>
          <w:sz w:val="22"/>
          <w:szCs w:val="22"/>
        </w:rPr>
      </w:pPr>
      <w:r w:rsidRPr="005F7F82">
        <w:rPr>
          <w:sz w:val="22"/>
          <w:szCs w:val="22"/>
        </w:rPr>
        <w:t xml:space="preserve">Experiments were carried out in a greenhouse at </w:t>
      </w:r>
      <w:r w:rsidRPr="005F7F82">
        <w:rPr>
          <w:sz w:val="22"/>
          <w:szCs w:val="22"/>
          <w:lang w:eastAsia="ja-JP"/>
        </w:rPr>
        <w:t xml:space="preserve">the </w:t>
      </w:r>
      <w:r w:rsidRPr="005F7F82">
        <w:rPr>
          <w:sz w:val="22"/>
          <w:szCs w:val="22"/>
        </w:rPr>
        <w:t xml:space="preserve">National Research Centre (NRC), </w:t>
      </w:r>
      <w:smartTag w:uri="urn:schemas-microsoft-com:office:smarttags" w:element="place">
        <w:smartTag w:uri="urn:schemas-microsoft-com:office:smarttags" w:element="City">
          <w:r w:rsidRPr="005F7F82">
            <w:rPr>
              <w:sz w:val="22"/>
              <w:szCs w:val="22"/>
            </w:rPr>
            <w:t>Cairo</w:t>
          </w:r>
        </w:smartTag>
        <w:r w:rsidRPr="005F7F82">
          <w:rPr>
            <w:sz w:val="22"/>
            <w:szCs w:val="22"/>
          </w:rPr>
          <w:t xml:space="preserve">, </w:t>
        </w:r>
        <w:smartTag w:uri="urn:schemas-microsoft-com:office:smarttags" w:element="country-region">
          <w:r w:rsidRPr="005F7F82">
            <w:rPr>
              <w:sz w:val="22"/>
              <w:szCs w:val="22"/>
            </w:rPr>
            <w:t>Egypt</w:t>
          </w:r>
        </w:smartTag>
      </w:smartTag>
      <w:r w:rsidRPr="005F7F82">
        <w:rPr>
          <w:sz w:val="22"/>
          <w:szCs w:val="22"/>
        </w:rPr>
        <w:t>, in 2014 season.</w:t>
      </w:r>
      <w:r w:rsidRPr="005F7F82">
        <w:rPr>
          <w:sz w:val="22"/>
          <w:szCs w:val="22"/>
          <w:lang w:eastAsia="ja-JP"/>
        </w:rPr>
        <w:t xml:space="preserve"> </w:t>
      </w:r>
      <w:r w:rsidR="006D4F3B" w:rsidRPr="005F7F82">
        <w:rPr>
          <w:sz w:val="22"/>
          <w:szCs w:val="22"/>
          <w:lang w:eastAsia="ja-JP"/>
        </w:rPr>
        <w:t xml:space="preserve">Medicinal </w:t>
      </w:r>
      <w:r w:rsidR="006D4F3B" w:rsidRPr="005F7F82">
        <w:rPr>
          <w:sz w:val="22"/>
          <w:szCs w:val="22"/>
        </w:rPr>
        <w:t>b</w:t>
      </w:r>
      <w:r w:rsidRPr="005F7F82">
        <w:rPr>
          <w:sz w:val="22"/>
          <w:szCs w:val="22"/>
        </w:rPr>
        <w:t>lack cumin</w:t>
      </w:r>
      <w:r w:rsidRPr="005F7F82">
        <w:rPr>
          <w:iCs/>
          <w:sz w:val="22"/>
          <w:szCs w:val="22"/>
        </w:rPr>
        <w:t xml:space="preserve"> </w:t>
      </w:r>
      <w:r w:rsidRPr="005F7F82">
        <w:rPr>
          <w:sz w:val="22"/>
          <w:szCs w:val="22"/>
        </w:rPr>
        <w:t>seeds were obtained from the</w:t>
      </w:r>
      <w:r w:rsidRPr="005F7F82">
        <w:rPr>
          <w:sz w:val="22"/>
          <w:szCs w:val="22"/>
          <w:lang w:eastAsia="ja-JP"/>
        </w:rPr>
        <w:t xml:space="preserve"> </w:t>
      </w:r>
      <w:smartTag w:uri="urn:schemas-microsoft-com:office:smarttags" w:element="PlaceType">
        <w:r w:rsidRPr="005F7F82">
          <w:rPr>
            <w:sz w:val="22"/>
            <w:szCs w:val="22"/>
            <w:lang w:eastAsia="ja-JP"/>
          </w:rPr>
          <w:t>Institute</w:t>
        </w:r>
      </w:smartTag>
      <w:r w:rsidRPr="005F7F82">
        <w:rPr>
          <w:sz w:val="22"/>
          <w:szCs w:val="22"/>
          <w:lang w:eastAsia="ja-JP"/>
        </w:rPr>
        <w:t xml:space="preserve"> of </w:t>
      </w:r>
      <w:smartTag w:uri="urn:schemas-microsoft-com:office:smarttags" w:element="PlaceName">
        <w:r w:rsidRPr="005F7F82">
          <w:rPr>
            <w:sz w:val="22"/>
            <w:szCs w:val="22"/>
            <w:lang w:eastAsia="ja-JP"/>
          </w:rPr>
          <w:t>Medicinal</w:t>
        </w:r>
      </w:smartTag>
      <w:r w:rsidRPr="005F7F82">
        <w:rPr>
          <w:sz w:val="22"/>
          <w:szCs w:val="22"/>
          <w:lang w:eastAsia="ja-JP"/>
        </w:rPr>
        <w:t xml:space="preserve"> and Aromatic Plants (IMAP) located in </w:t>
      </w:r>
      <w:smartTag w:uri="urn:schemas-microsoft-com:office:smarttags" w:element="place">
        <w:smartTag w:uri="urn:schemas-microsoft-com:office:smarttags" w:element="City">
          <w:r w:rsidRPr="005F7F82">
            <w:rPr>
              <w:sz w:val="22"/>
              <w:szCs w:val="22"/>
              <w:lang w:eastAsia="ja-JP"/>
            </w:rPr>
            <w:t>Kalubia Governerat</w:t>
          </w:r>
        </w:smartTag>
        <w:r w:rsidRPr="005F7F82">
          <w:rPr>
            <w:sz w:val="22"/>
            <w:szCs w:val="22"/>
            <w:lang w:eastAsia="ja-JP"/>
          </w:rPr>
          <w:t>,</w:t>
        </w:r>
        <w:r w:rsidRPr="005F7F82">
          <w:rPr>
            <w:sz w:val="22"/>
            <w:szCs w:val="22"/>
          </w:rPr>
          <w:t xml:space="preserve"> </w:t>
        </w:r>
        <w:smartTag w:uri="urn:schemas-microsoft-com:office:smarttags" w:element="country-region">
          <w:r w:rsidRPr="005F7F82">
            <w:rPr>
              <w:sz w:val="22"/>
              <w:szCs w:val="22"/>
            </w:rPr>
            <w:t>Egypt</w:t>
          </w:r>
        </w:smartTag>
      </w:smartTag>
      <w:r w:rsidRPr="005F7F82">
        <w:rPr>
          <w:sz w:val="22"/>
          <w:szCs w:val="22"/>
        </w:rPr>
        <w:t xml:space="preserve">. </w:t>
      </w:r>
      <w:r w:rsidRPr="005F7F82">
        <w:rPr>
          <w:sz w:val="22"/>
          <w:szCs w:val="22"/>
          <w:lang w:eastAsia="ja-JP"/>
        </w:rPr>
        <w:t>Uniform</w:t>
      </w:r>
      <w:r w:rsidRPr="005F7F82">
        <w:rPr>
          <w:sz w:val="22"/>
          <w:szCs w:val="22"/>
        </w:rPr>
        <w:t xml:space="preserve"> seeds were sown into plastic pots (</w:t>
      </w:r>
      <w:smartTag w:uri="urn:schemas-microsoft-com:office:smarttags" w:element="metricconverter">
        <w:smartTagPr>
          <w:attr w:name="ProductID" w:val="30 cm"/>
        </w:smartTagPr>
        <w:r w:rsidRPr="005F7F82">
          <w:rPr>
            <w:sz w:val="22"/>
            <w:szCs w:val="22"/>
          </w:rPr>
          <w:t>30 cm</w:t>
        </w:r>
      </w:smartTag>
      <w:r w:rsidRPr="005F7F82">
        <w:rPr>
          <w:sz w:val="22"/>
          <w:szCs w:val="22"/>
        </w:rPr>
        <w:t xml:space="preserve"> diameter and </w:t>
      </w:r>
      <w:smartTag w:uri="urn:schemas-microsoft-com:office:smarttags" w:element="metricconverter">
        <w:smartTagPr>
          <w:attr w:name="ProductID" w:val="50 cm"/>
        </w:smartTagPr>
        <w:r w:rsidRPr="005F7F82">
          <w:rPr>
            <w:sz w:val="22"/>
            <w:szCs w:val="22"/>
          </w:rPr>
          <w:t>50 cm</w:t>
        </w:r>
      </w:smartTag>
      <w:r w:rsidRPr="005F7F82">
        <w:rPr>
          <w:sz w:val="22"/>
          <w:szCs w:val="22"/>
        </w:rPr>
        <w:t xml:space="preserve"> height) during the first week of November 2014; the pots were transferred to a greenhouse adjusted to 24/18°C, 90/60% RH day/night and light intensity </w:t>
      </w:r>
      <w:r w:rsidRPr="005F7F82">
        <w:rPr>
          <w:sz w:val="22"/>
          <w:szCs w:val="22"/>
          <w:lang w:eastAsia="ja-JP"/>
        </w:rPr>
        <w:t>~</w:t>
      </w:r>
      <w:r w:rsidRPr="005F7F82">
        <w:rPr>
          <w:sz w:val="22"/>
          <w:szCs w:val="22"/>
        </w:rPr>
        <w:t>3700 µmo</w:t>
      </w:r>
      <w:r w:rsidRPr="005F7F82">
        <w:rPr>
          <w:sz w:val="22"/>
          <w:szCs w:val="22"/>
          <w:lang w:eastAsia="ja-JP"/>
        </w:rPr>
        <w:t>l</w:t>
      </w:r>
      <w:r w:rsidRPr="005F7F82">
        <w:rPr>
          <w:sz w:val="22"/>
          <w:szCs w:val="22"/>
        </w:rPr>
        <w:t>.m</w:t>
      </w:r>
      <w:r w:rsidRPr="005F7F82">
        <w:rPr>
          <w:sz w:val="22"/>
          <w:szCs w:val="22"/>
          <w:vertAlign w:val="superscript"/>
        </w:rPr>
        <w:t>-2</w:t>
      </w:r>
      <w:r w:rsidRPr="005F7F82">
        <w:rPr>
          <w:sz w:val="22"/>
          <w:szCs w:val="22"/>
        </w:rPr>
        <w:t>.s</w:t>
      </w:r>
      <w:r w:rsidRPr="005F7F82">
        <w:rPr>
          <w:sz w:val="22"/>
          <w:szCs w:val="22"/>
          <w:vertAlign w:val="superscript"/>
        </w:rPr>
        <w:t>-1</w:t>
      </w:r>
      <w:r w:rsidRPr="005F7F82">
        <w:rPr>
          <w:sz w:val="22"/>
          <w:szCs w:val="22"/>
        </w:rPr>
        <w:t>.</w:t>
      </w:r>
      <w:r w:rsidRPr="005F7F82">
        <w:rPr>
          <w:sz w:val="22"/>
          <w:szCs w:val="22"/>
          <w:vertAlign w:val="superscript"/>
        </w:rPr>
        <w:t xml:space="preserve"> </w:t>
      </w:r>
      <w:r w:rsidRPr="005F7F82">
        <w:rPr>
          <w:sz w:val="22"/>
          <w:szCs w:val="22"/>
        </w:rPr>
        <w:t xml:space="preserve">Each pot was filled with </w:t>
      </w:r>
      <w:smartTag w:uri="urn:schemas-microsoft-com:office:smarttags" w:element="metricconverter">
        <w:smartTagPr>
          <w:attr w:name="ProductID" w:val="10 kg"/>
        </w:smartTagPr>
        <w:r w:rsidRPr="005F7F82">
          <w:rPr>
            <w:sz w:val="22"/>
            <w:szCs w:val="22"/>
          </w:rPr>
          <w:t>10 kg</w:t>
        </w:r>
      </w:smartTag>
      <w:r w:rsidRPr="005F7F82">
        <w:rPr>
          <w:sz w:val="22"/>
          <w:szCs w:val="22"/>
        </w:rPr>
        <w:t xml:space="preserve"> of air-dried soil (sandy soil). Three weeks after sowing, the seedlings were thinned to three plants per pot. 45 days from sowing date </w:t>
      </w:r>
      <w:r w:rsidRPr="005F7F82">
        <w:rPr>
          <w:sz w:val="22"/>
          <w:szCs w:val="22"/>
          <w:lang w:eastAsia="ja-JP"/>
        </w:rPr>
        <w:t>plants</w:t>
      </w:r>
      <w:r w:rsidRPr="005F7F82">
        <w:rPr>
          <w:sz w:val="22"/>
          <w:szCs w:val="22"/>
        </w:rPr>
        <w:t xml:space="preserve"> </w:t>
      </w:r>
      <w:r w:rsidRPr="005F7F82">
        <w:rPr>
          <w:iCs/>
          <w:sz w:val="22"/>
          <w:szCs w:val="22"/>
        </w:rPr>
        <w:t xml:space="preserve">were divided </w:t>
      </w:r>
      <w:r w:rsidRPr="005F7F82">
        <w:rPr>
          <w:iCs/>
          <w:sz w:val="22"/>
          <w:szCs w:val="22"/>
          <w:lang w:eastAsia="ja-JP"/>
        </w:rPr>
        <w:t>in</w:t>
      </w:r>
      <w:r w:rsidRPr="005F7F82">
        <w:rPr>
          <w:iCs/>
          <w:sz w:val="22"/>
          <w:szCs w:val="22"/>
        </w:rPr>
        <w:t>to five groups</w:t>
      </w:r>
      <w:r w:rsidRPr="005F7F82">
        <w:rPr>
          <w:sz w:val="22"/>
          <w:szCs w:val="22"/>
        </w:rPr>
        <w:t xml:space="preserve"> were subjected to different levels of saline irrigation water, 0.4 (tap water as control), 1.6, 3.1, 4.7 and 6.3 dS m</w:t>
      </w:r>
      <w:r w:rsidRPr="005F7F82">
        <w:rPr>
          <w:sz w:val="22"/>
          <w:szCs w:val="22"/>
          <w:vertAlign w:val="superscript"/>
        </w:rPr>
        <w:t>−1</w:t>
      </w:r>
      <w:r w:rsidRPr="005F7F82">
        <w:rPr>
          <w:sz w:val="22"/>
          <w:szCs w:val="22"/>
        </w:rPr>
        <w:t xml:space="preserve">. To prepare irrigation water with different salinity levels, highly soluble NaCl salt were used. This salt was used because it is found naturally in the irrigation water in </w:t>
      </w:r>
      <w:smartTag w:uri="urn:schemas-microsoft-com:office:smarttags" w:element="country-region">
        <w:smartTag w:uri="urn:schemas-microsoft-com:office:smarttags" w:element="place">
          <w:r w:rsidRPr="005F7F82">
            <w:rPr>
              <w:sz w:val="22"/>
              <w:szCs w:val="22"/>
            </w:rPr>
            <w:t>Egypt</w:t>
          </w:r>
        </w:smartTag>
      </w:smartTag>
      <w:r w:rsidRPr="005F7F82">
        <w:rPr>
          <w:sz w:val="22"/>
          <w:szCs w:val="22"/>
        </w:rPr>
        <w:t xml:space="preserve"> [16]. Plants subjected to saline irrigation water every 7 days however all pots were leached by tap water every 28 days (If there was no leaching when irrigating with saline water, it may induce salt build up in pots). All Agricultural practices were done according to recommendations of Ministry of Agriculture, </w:t>
      </w:r>
      <w:smartTag w:uri="urn:schemas-microsoft-com:office:smarttags" w:element="country-region">
        <w:smartTag w:uri="urn:schemas-microsoft-com:office:smarttags" w:element="place">
          <w:r w:rsidRPr="005F7F82">
            <w:rPr>
              <w:sz w:val="22"/>
              <w:szCs w:val="22"/>
            </w:rPr>
            <w:t>Egypt</w:t>
          </w:r>
        </w:smartTag>
      </w:smartTag>
      <w:r w:rsidRPr="005F7F82">
        <w:rPr>
          <w:sz w:val="22"/>
          <w:szCs w:val="22"/>
        </w:rPr>
        <w:t xml:space="preserve">.    </w:t>
      </w:r>
    </w:p>
    <w:p w:rsidR="005F7F82" w:rsidRPr="005F7F82" w:rsidRDefault="005F7F82" w:rsidP="005F7F82">
      <w:pPr>
        <w:autoSpaceDE w:val="0"/>
        <w:autoSpaceDN w:val="0"/>
        <w:adjustRightInd w:val="0"/>
        <w:jc w:val="both"/>
        <w:rPr>
          <w:b/>
          <w:bCs/>
          <w:sz w:val="22"/>
          <w:szCs w:val="22"/>
          <w:lang w:eastAsia="ja-JP"/>
        </w:rPr>
      </w:pPr>
    </w:p>
    <w:p w:rsidR="00B6707C" w:rsidRPr="005F7F82" w:rsidRDefault="00B6707C" w:rsidP="005F7F82">
      <w:pPr>
        <w:autoSpaceDE w:val="0"/>
        <w:autoSpaceDN w:val="0"/>
        <w:adjustRightInd w:val="0"/>
        <w:jc w:val="lowKashida"/>
        <w:rPr>
          <w:i/>
          <w:iCs/>
          <w:sz w:val="22"/>
          <w:szCs w:val="22"/>
        </w:rPr>
      </w:pPr>
      <w:r w:rsidRPr="005F7F82">
        <w:rPr>
          <w:i/>
          <w:iCs/>
          <w:sz w:val="22"/>
          <w:szCs w:val="22"/>
        </w:rPr>
        <w:t xml:space="preserve">2.2. Harvesting </w:t>
      </w:r>
    </w:p>
    <w:p w:rsidR="00B6707C" w:rsidRDefault="00B6707C" w:rsidP="005F7F82">
      <w:pPr>
        <w:autoSpaceDE w:val="0"/>
        <w:autoSpaceDN w:val="0"/>
        <w:adjustRightInd w:val="0"/>
        <w:jc w:val="lowKashida"/>
        <w:rPr>
          <w:sz w:val="22"/>
          <w:szCs w:val="22"/>
        </w:rPr>
      </w:pPr>
      <w:r w:rsidRPr="005F7F82">
        <w:rPr>
          <w:sz w:val="22"/>
          <w:szCs w:val="22"/>
        </w:rPr>
        <w:t>At the end of the fruiting stage (210 days from sowing), the plants were harvested. PGC measurements [PH (cm), NL (plant</w:t>
      </w:r>
      <w:r w:rsidRPr="005F7F82">
        <w:rPr>
          <w:sz w:val="22"/>
          <w:szCs w:val="22"/>
          <w:vertAlign w:val="superscript"/>
        </w:rPr>
        <w:t>1</w:t>
      </w:r>
      <w:r w:rsidRPr="005F7F82">
        <w:rPr>
          <w:sz w:val="22"/>
          <w:szCs w:val="22"/>
        </w:rPr>
        <w:t>), NB (plant</w:t>
      </w:r>
      <w:r w:rsidRPr="005F7F82">
        <w:rPr>
          <w:sz w:val="22"/>
          <w:szCs w:val="22"/>
          <w:vertAlign w:val="superscript"/>
        </w:rPr>
        <w:t>-1</w:t>
      </w:r>
      <w:r w:rsidRPr="005F7F82">
        <w:rPr>
          <w:sz w:val="22"/>
          <w:szCs w:val="22"/>
        </w:rPr>
        <w:t>), NC (plant</w:t>
      </w:r>
      <w:r w:rsidRPr="005F7F82">
        <w:rPr>
          <w:sz w:val="22"/>
          <w:szCs w:val="22"/>
          <w:vertAlign w:val="superscript"/>
        </w:rPr>
        <w:t>-1</w:t>
      </w:r>
      <w:r w:rsidRPr="005F7F82">
        <w:rPr>
          <w:sz w:val="22"/>
          <w:szCs w:val="22"/>
        </w:rPr>
        <w:t>), DWH (plant</w:t>
      </w:r>
      <w:r w:rsidRPr="005F7F82">
        <w:rPr>
          <w:sz w:val="22"/>
          <w:szCs w:val="22"/>
          <w:vertAlign w:val="superscript"/>
        </w:rPr>
        <w:t>-1</w:t>
      </w:r>
      <w:r w:rsidRPr="005F7F82">
        <w:rPr>
          <w:sz w:val="22"/>
          <w:szCs w:val="22"/>
        </w:rPr>
        <w:t>) and YS (g plant</w:t>
      </w:r>
      <w:r w:rsidRPr="005F7F82">
        <w:rPr>
          <w:sz w:val="22"/>
          <w:szCs w:val="22"/>
          <w:vertAlign w:val="superscript"/>
        </w:rPr>
        <w:t>-1</w:t>
      </w:r>
      <w:r w:rsidRPr="005F7F82">
        <w:rPr>
          <w:sz w:val="22"/>
          <w:szCs w:val="22"/>
        </w:rPr>
        <w:t>)] were recorded during the end of season.</w:t>
      </w:r>
    </w:p>
    <w:p w:rsidR="005F7F82" w:rsidRPr="005F7F82" w:rsidRDefault="005F7F82" w:rsidP="005F7F82">
      <w:pPr>
        <w:autoSpaceDE w:val="0"/>
        <w:autoSpaceDN w:val="0"/>
        <w:adjustRightInd w:val="0"/>
        <w:jc w:val="lowKashida"/>
        <w:rPr>
          <w:b/>
          <w:bCs/>
          <w:sz w:val="22"/>
          <w:szCs w:val="22"/>
        </w:rPr>
      </w:pPr>
    </w:p>
    <w:p w:rsidR="00B6707C" w:rsidRPr="005F7F82" w:rsidRDefault="00B6707C" w:rsidP="005F7F82">
      <w:pPr>
        <w:autoSpaceDE w:val="0"/>
        <w:autoSpaceDN w:val="0"/>
        <w:adjustRightInd w:val="0"/>
        <w:jc w:val="both"/>
        <w:rPr>
          <w:i/>
          <w:iCs/>
          <w:sz w:val="22"/>
          <w:szCs w:val="22"/>
        </w:rPr>
      </w:pPr>
      <w:r w:rsidRPr="005F7F82">
        <w:rPr>
          <w:i/>
          <w:iCs/>
          <w:sz w:val="22"/>
          <w:szCs w:val="22"/>
        </w:rPr>
        <w:t>2.3. EO isolation</w:t>
      </w:r>
    </w:p>
    <w:p w:rsidR="00B6707C" w:rsidRDefault="00B6707C" w:rsidP="005F7F82">
      <w:pPr>
        <w:autoSpaceDE w:val="0"/>
        <w:autoSpaceDN w:val="0"/>
        <w:adjustRightInd w:val="0"/>
        <w:jc w:val="both"/>
        <w:rPr>
          <w:sz w:val="22"/>
          <w:szCs w:val="22"/>
        </w:rPr>
      </w:pPr>
      <w:r>
        <w:rPr>
          <w:sz w:val="22"/>
          <w:szCs w:val="22"/>
        </w:rPr>
        <w:t>Dry seeds w</w:t>
      </w:r>
      <w:r>
        <w:rPr>
          <w:sz w:val="22"/>
          <w:szCs w:val="22"/>
          <w:lang w:eastAsia="ja-JP"/>
        </w:rPr>
        <w:t>ere</w:t>
      </w:r>
      <w:r>
        <w:rPr>
          <w:sz w:val="22"/>
          <w:szCs w:val="22"/>
        </w:rPr>
        <w:t xml:space="preserve"> collected from each treatment then 50g from each replicate of all treatments were subjected to hydro-distillation for 3 h using a Clevenger-type apparatus </w:t>
      </w:r>
      <w:r w:rsidRPr="004A2F83">
        <w:rPr>
          <w:sz w:val="22"/>
          <w:szCs w:val="22"/>
        </w:rPr>
        <w:t>[17].</w:t>
      </w:r>
      <w:r>
        <w:rPr>
          <w:sz w:val="22"/>
          <w:szCs w:val="22"/>
        </w:rPr>
        <w:t xml:space="preserve"> The EO content was calculated as a </w:t>
      </w:r>
      <w:r>
        <w:rPr>
          <w:sz w:val="22"/>
          <w:szCs w:val="22"/>
          <w:lang w:eastAsia="ja-JP"/>
        </w:rPr>
        <w:t xml:space="preserve">relative </w:t>
      </w:r>
      <w:r>
        <w:rPr>
          <w:sz w:val="22"/>
          <w:szCs w:val="22"/>
        </w:rPr>
        <w:t>percentage (</w:t>
      </w:r>
      <w:r>
        <w:rPr>
          <w:sz w:val="22"/>
          <w:szCs w:val="22"/>
          <w:lang w:eastAsia="ja-JP"/>
        </w:rPr>
        <w:t>v/w</w:t>
      </w:r>
      <w:r>
        <w:rPr>
          <w:sz w:val="22"/>
          <w:szCs w:val="22"/>
        </w:rPr>
        <w:t xml:space="preserve">). In </w:t>
      </w:r>
      <w:r w:rsidRPr="005F7F82">
        <w:rPr>
          <w:sz w:val="22"/>
          <w:szCs w:val="22"/>
        </w:rPr>
        <w:t>addition, total EO (ml plant</w:t>
      </w:r>
      <w:r w:rsidRPr="005F7F82">
        <w:rPr>
          <w:sz w:val="22"/>
          <w:szCs w:val="22"/>
          <w:vertAlign w:val="superscript"/>
        </w:rPr>
        <w:t>-1</w:t>
      </w:r>
      <w:r w:rsidRPr="005F7F82">
        <w:rPr>
          <w:sz w:val="22"/>
          <w:szCs w:val="22"/>
        </w:rPr>
        <w:t>) was calculated. The EO were collected from each treatment and dried over anhydrous Sodium Sulphate</w:t>
      </w:r>
      <w:r>
        <w:rPr>
          <w:sz w:val="22"/>
          <w:szCs w:val="22"/>
        </w:rPr>
        <w:t xml:space="preserve"> to identify the chemical constituents of the EO.</w:t>
      </w:r>
    </w:p>
    <w:p w:rsidR="005F7F82" w:rsidRDefault="005F7F82" w:rsidP="005F7F82">
      <w:pPr>
        <w:autoSpaceDE w:val="0"/>
        <w:autoSpaceDN w:val="0"/>
        <w:adjustRightInd w:val="0"/>
        <w:jc w:val="both"/>
        <w:rPr>
          <w:b/>
          <w:bCs/>
          <w:sz w:val="22"/>
          <w:szCs w:val="22"/>
        </w:rPr>
      </w:pPr>
    </w:p>
    <w:p w:rsidR="00B6707C" w:rsidRDefault="00B6707C" w:rsidP="005F7F82">
      <w:pPr>
        <w:autoSpaceDE w:val="0"/>
        <w:autoSpaceDN w:val="0"/>
        <w:adjustRightInd w:val="0"/>
        <w:jc w:val="both"/>
        <w:rPr>
          <w:i/>
          <w:iCs/>
          <w:sz w:val="22"/>
          <w:szCs w:val="22"/>
        </w:rPr>
      </w:pPr>
      <w:r>
        <w:rPr>
          <w:i/>
          <w:iCs/>
          <w:sz w:val="22"/>
          <w:szCs w:val="22"/>
        </w:rPr>
        <w:t xml:space="preserve">2.4. GC-MS analysis </w:t>
      </w:r>
    </w:p>
    <w:p w:rsidR="00B6707C" w:rsidRDefault="00B6707C" w:rsidP="005F7F82">
      <w:pPr>
        <w:autoSpaceDE w:val="0"/>
        <w:autoSpaceDN w:val="0"/>
        <w:adjustRightInd w:val="0"/>
        <w:jc w:val="both"/>
        <w:rPr>
          <w:b/>
          <w:bCs/>
          <w:sz w:val="22"/>
          <w:szCs w:val="22"/>
          <w:lang w:eastAsia="ja-JP"/>
        </w:rPr>
      </w:pPr>
      <w:r>
        <w:rPr>
          <w:sz w:val="22"/>
          <w:szCs w:val="22"/>
        </w:rPr>
        <w:t>The ADELSIGLC MS system (Model: GCMS-QP2010 SE; SHIMADZU, Japan), equipped with a BPX5 capillary column (</w:t>
      </w:r>
      <w:smartTag w:uri="urn:schemas-microsoft-com:office:smarttags" w:element="metricconverter">
        <w:smartTagPr>
          <w:attr w:name="ProductID" w:val="0.22 mm"/>
        </w:smartTagPr>
        <w:r>
          <w:rPr>
            <w:sz w:val="22"/>
            <w:szCs w:val="22"/>
          </w:rPr>
          <w:t>0.22</w:t>
        </w:r>
        <w:r>
          <w:rPr>
            <w:sz w:val="22"/>
            <w:szCs w:val="22"/>
            <w:lang w:eastAsia="ja-JP"/>
          </w:rPr>
          <w:t xml:space="preserve"> </w:t>
        </w:r>
        <w:r>
          <w:rPr>
            <w:sz w:val="22"/>
            <w:szCs w:val="22"/>
          </w:rPr>
          <w:t>mm</w:t>
        </w:r>
      </w:smartTag>
      <w:r>
        <w:rPr>
          <w:sz w:val="22"/>
          <w:szCs w:val="22"/>
        </w:rPr>
        <w:t xml:space="preserve"> id ×</w:t>
      </w:r>
      <w:r>
        <w:rPr>
          <w:sz w:val="22"/>
          <w:szCs w:val="22"/>
          <w:lang w:eastAsia="ja-JP"/>
        </w:rPr>
        <w:t xml:space="preserve"> </w:t>
      </w:r>
      <w:smartTag w:uri="urn:schemas-microsoft-com:office:smarttags" w:element="metricconverter">
        <w:smartTagPr>
          <w:attr w:name="ProductID" w:val="25 m"/>
        </w:smartTagPr>
        <w:r>
          <w:rPr>
            <w:sz w:val="22"/>
            <w:szCs w:val="22"/>
          </w:rPr>
          <w:t>25</w:t>
        </w:r>
        <w:r>
          <w:rPr>
            <w:sz w:val="22"/>
            <w:szCs w:val="22"/>
            <w:lang w:eastAsia="ja-JP"/>
          </w:rPr>
          <w:t xml:space="preserve"> </w:t>
        </w:r>
        <w:r>
          <w:rPr>
            <w:sz w:val="22"/>
            <w:szCs w:val="22"/>
          </w:rPr>
          <w:t>m</w:t>
        </w:r>
      </w:smartTag>
      <w:r>
        <w:rPr>
          <w:sz w:val="22"/>
          <w:szCs w:val="22"/>
        </w:rPr>
        <w:t>, film thickness 0.25</w:t>
      </w:r>
      <w:r>
        <w:rPr>
          <w:sz w:val="22"/>
          <w:szCs w:val="22"/>
          <w:lang w:eastAsia="ja-JP"/>
        </w:rPr>
        <w:t xml:space="preserve"> </w:t>
      </w:r>
      <w:r>
        <w:rPr>
          <w:sz w:val="22"/>
          <w:szCs w:val="22"/>
        </w:rPr>
        <w:t xml:space="preserve">µm) was used. Analysis was carried </w:t>
      </w:r>
      <w:r w:rsidRPr="005F7F82">
        <w:rPr>
          <w:sz w:val="22"/>
          <w:szCs w:val="22"/>
        </w:rPr>
        <w:t xml:space="preserve">out using </w:t>
      </w:r>
      <w:r w:rsidRPr="005F7F82">
        <w:rPr>
          <w:sz w:val="22"/>
          <w:szCs w:val="22"/>
          <w:lang w:eastAsia="ja-JP"/>
        </w:rPr>
        <w:t>Helium</w:t>
      </w:r>
      <w:r w:rsidRPr="005F7F82">
        <w:rPr>
          <w:sz w:val="22"/>
          <w:szCs w:val="22"/>
        </w:rPr>
        <w:t xml:space="preserve"> as the carrier gas, with </w:t>
      </w:r>
      <w:r w:rsidRPr="005F7F82">
        <w:rPr>
          <w:sz w:val="22"/>
          <w:szCs w:val="22"/>
          <w:lang w:eastAsia="ja-JP"/>
        </w:rPr>
        <w:t>a</w:t>
      </w:r>
      <w:r w:rsidRPr="005F7F82">
        <w:rPr>
          <w:sz w:val="22"/>
          <w:szCs w:val="22"/>
        </w:rPr>
        <w:t xml:space="preserve"> flow rate </w:t>
      </w:r>
      <w:r w:rsidRPr="005F7F82">
        <w:rPr>
          <w:sz w:val="22"/>
          <w:szCs w:val="22"/>
          <w:lang w:eastAsia="ja-JP"/>
        </w:rPr>
        <w:t>of</w:t>
      </w:r>
      <w:r w:rsidRPr="005F7F82">
        <w:rPr>
          <w:sz w:val="22"/>
          <w:szCs w:val="22"/>
        </w:rPr>
        <w:t xml:space="preserve"> 1.0 ml/min. The column temperature was programmed from 60 to </w:t>
      </w:r>
      <w:smartTag w:uri="urn:schemas-microsoft-com:office:smarttags" w:element="metricconverter">
        <w:smartTagPr>
          <w:attr w:name="ProductID" w:val="240ﾰC"/>
        </w:smartTagPr>
        <w:r w:rsidRPr="005F7F82">
          <w:rPr>
            <w:sz w:val="22"/>
            <w:szCs w:val="22"/>
          </w:rPr>
          <w:t>240°C</w:t>
        </w:r>
      </w:smartTag>
      <w:r w:rsidRPr="005F7F82">
        <w:rPr>
          <w:sz w:val="22"/>
          <w:szCs w:val="22"/>
        </w:rPr>
        <w:t xml:space="preserve"> at 3°C/min. The sample size was 2</w:t>
      </w:r>
      <w:r w:rsidRPr="005F7F82">
        <w:rPr>
          <w:sz w:val="22"/>
          <w:szCs w:val="22"/>
          <w:lang w:eastAsia="ja-JP"/>
        </w:rPr>
        <w:t xml:space="preserve"> </w:t>
      </w:r>
      <w:r w:rsidRPr="005F7F82">
        <w:rPr>
          <w:sz w:val="22"/>
          <w:szCs w:val="22"/>
        </w:rPr>
        <w:t>µ</w:t>
      </w:r>
      <w:r w:rsidRPr="005F7F82">
        <w:rPr>
          <w:sz w:val="22"/>
          <w:szCs w:val="22"/>
          <w:lang w:eastAsia="ja-JP"/>
        </w:rPr>
        <w:t>l</w:t>
      </w:r>
      <w:r w:rsidRPr="005F7F82">
        <w:rPr>
          <w:sz w:val="22"/>
          <w:szCs w:val="22"/>
        </w:rPr>
        <w:t>, the split ratio 1:20</w:t>
      </w:r>
      <w:r w:rsidRPr="005F7F82">
        <w:rPr>
          <w:sz w:val="22"/>
          <w:szCs w:val="22"/>
          <w:lang w:eastAsia="ja-JP"/>
        </w:rPr>
        <w:t>;</w:t>
      </w:r>
      <w:r w:rsidRPr="005F7F82">
        <w:rPr>
          <w:sz w:val="22"/>
          <w:szCs w:val="22"/>
        </w:rPr>
        <w:t xml:space="preserve"> injector temperature was </w:t>
      </w:r>
      <w:smartTag w:uri="urn:schemas-microsoft-com:office:smarttags" w:element="metricconverter">
        <w:smartTagPr>
          <w:attr w:name="ProductID" w:val="250ﾰC"/>
        </w:smartTagPr>
        <w:r w:rsidRPr="005F7F82">
          <w:rPr>
            <w:sz w:val="22"/>
            <w:szCs w:val="22"/>
          </w:rPr>
          <w:t>250°C</w:t>
        </w:r>
      </w:smartTag>
      <w:r w:rsidRPr="005F7F82">
        <w:rPr>
          <w:sz w:val="22"/>
          <w:szCs w:val="22"/>
          <w:lang w:eastAsia="ja-JP"/>
        </w:rPr>
        <w:t>;</w:t>
      </w:r>
      <w:r w:rsidRPr="005F7F82">
        <w:rPr>
          <w:sz w:val="22"/>
          <w:szCs w:val="22"/>
        </w:rPr>
        <w:t xml:space="preserve"> ionization</w:t>
      </w:r>
      <w:r>
        <w:rPr>
          <w:sz w:val="22"/>
          <w:szCs w:val="22"/>
        </w:rPr>
        <w:t xml:space="preserve"> voltage applied was 70 eV, mass range m/z 41-400 amu. Kovat’s indices were determined by co-injection of the sample with a solution containing a homologous series of </w:t>
      </w:r>
      <w:r>
        <w:rPr>
          <w:i/>
          <w:iCs/>
          <w:sz w:val="22"/>
          <w:szCs w:val="22"/>
        </w:rPr>
        <w:t>n</w:t>
      </w:r>
      <w:r>
        <w:rPr>
          <w:sz w:val="22"/>
          <w:szCs w:val="22"/>
        </w:rPr>
        <w:t>-hydrocarbons in a temperature run identical to that described above.</w:t>
      </w:r>
    </w:p>
    <w:p w:rsidR="00B6707C" w:rsidRDefault="00B6707C" w:rsidP="005F7F82">
      <w:pPr>
        <w:tabs>
          <w:tab w:val="center" w:pos="4819"/>
        </w:tabs>
        <w:autoSpaceDE w:val="0"/>
        <w:autoSpaceDN w:val="0"/>
        <w:adjustRightInd w:val="0"/>
        <w:jc w:val="both"/>
        <w:rPr>
          <w:b/>
          <w:bCs/>
          <w:sz w:val="22"/>
          <w:szCs w:val="22"/>
        </w:rPr>
      </w:pPr>
    </w:p>
    <w:p w:rsidR="00B6707C" w:rsidRDefault="00B6707C" w:rsidP="005F7F82">
      <w:pPr>
        <w:tabs>
          <w:tab w:val="center" w:pos="4819"/>
        </w:tabs>
        <w:autoSpaceDE w:val="0"/>
        <w:autoSpaceDN w:val="0"/>
        <w:adjustRightInd w:val="0"/>
        <w:jc w:val="both"/>
        <w:rPr>
          <w:i/>
          <w:iCs/>
          <w:sz w:val="22"/>
          <w:szCs w:val="22"/>
        </w:rPr>
      </w:pPr>
      <w:r>
        <w:rPr>
          <w:i/>
          <w:iCs/>
          <w:sz w:val="22"/>
          <w:szCs w:val="22"/>
        </w:rPr>
        <w:t xml:space="preserve">2.5. Identification of EO components </w:t>
      </w:r>
    </w:p>
    <w:p w:rsidR="00B6707C" w:rsidRDefault="00B6707C" w:rsidP="005F7F82">
      <w:pPr>
        <w:tabs>
          <w:tab w:val="center" w:pos="4819"/>
        </w:tabs>
        <w:autoSpaceDE w:val="0"/>
        <w:autoSpaceDN w:val="0"/>
        <w:adjustRightInd w:val="0"/>
        <w:jc w:val="both"/>
        <w:rPr>
          <w:sz w:val="22"/>
          <w:szCs w:val="22"/>
        </w:rPr>
      </w:pPr>
      <w:r>
        <w:rPr>
          <w:sz w:val="22"/>
          <w:szCs w:val="22"/>
        </w:rPr>
        <w:t xml:space="preserve">The separated components of the EO were identified by matching with the National Institute of Standards and Technology (NIST) mass spectral library </w:t>
      </w:r>
      <w:r w:rsidRPr="004A2F83">
        <w:rPr>
          <w:sz w:val="22"/>
          <w:szCs w:val="22"/>
        </w:rPr>
        <w:t xml:space="preserve">data, </w:t>
      </w:r>
      <w:r w:rsidRPr="004A2F83">
        <w:rPr>
          <w:sz w:val="22"/>
          <w:szCs w:val="22"/>
          <w:lang w:eastAsia="ja-JP"/>
        </w:rPr>
        <w:t xml:space="preserve">and by </w:t>
      </w:r>
      <w:r w:rsidRPr="004A2F83">
        <w:rPr>
          <w:sz w:val="22"/>
          <w:szCs w:val="22"/>
        </w:rPr>
        <w:t xml:space="preserve">comparison </w:t>
      </w:r>
      <w:r w:rsidRPr="004A2F83">
        <w:rPr>
          <w:sz w:val="22"/>
          <w:szCs w:val="22"/>
          <w:lang w:eastAsia="ja-JP"/>
        </w:rPr>
        <w:t>with</w:t>
      </w:r>
      <w:r w:rsidRPr="004A2F83">
        <w:rPr>
          <w:sz w:val="22"/>
          <w:szCs w:val="22"/>
        </w:rPr>
        <w:t xml:space="preserve"> Kovat’s indices of authentic components and with published data</w:t>
      </w:r>
      <w:r w:rsidRPr="004A2F83">
        <w:rPr>
          <w:sz w:val="22"/>
          <w:szCs w:val="22"/>
          <w:vertAlign w:val="superscript"/>
        </w:rPr>
        <w:t xml:space="preserve"> </w:t>
      </w:r>
      <w:r w:rsidRPr="004A2F83">
        <w:rPr>
          <w:sz w:val="22"/>
          <w:szCs w:val="22"/>
        </w:rPr>
        <w:t xml:space="preserve">[18]. </w:t>
      </w:r>
      <w:r w:rsidRPr="004A2F83">
        <w:rPr>
          <w:sz w:val="22"/>
          <w:szCs w:val="22"/>
          <w:lang w:eastAsia="ja-JP"/>
        </w:rPr>
        <w:t>Q</w:t>
      </w:r>
      <w:r w:rsidRPr="004A2F83">
        <w:rPr>
          <w:sz w:val="22"/>
          <w:szCs w:val="22"/>
        </w:rPr>
        <w:t>uantitative determination was carried out based on peak area integration.</w:t>
      </w:r>
    </w:p>
    <w:p w:rsidR="005F7F82" w:rsidRPr="004A2F83" w:rsidRDefault="005F7F82" w:rsidP="005F7F82">
      <w:pPr>
        <w:tabs>
          <w:tab w:val="center" w:pos="4819"/>
        </w:tabs>
        <w:autoSpaceDE w:val="0"/>
        <w:autoSpaceDN w:val="0"/>
        <w:adjustRightInd w:val="0"/>
        <w:jc w:val="both"/>
        <w:rPr>
          <w:sz w:val="22"/>
          <w:szCs w:val="22"/>
        </w:rPr>
      </w:pPr>
    </w:p>
    <w:p w:rsidR="00B6707C" w:rsidRPr="004A2F83" w:rsidRDefault="00B6707C" w:rsidP="005F7F82">
      <w:pPr>
        <w:tabs>
          <w:tab w:val="center" w:pos="4819"/>
        </w:tabs>
        <w:autoSpaceDE w:val="0"/>
        <w:autoSpaceDN w:val="0"/>
        <w:adjustRightInd w:val="0"/>
        <w:jc w:val="both"/>
        <w:rPr>
          <w:i/>
          <w:iCs/>
          <w:sz w:val="22"/>
          <w:szCs w:val="22"/>
        </w:rPr>
      </w:pPr>
      <w:r w:rsidRPr="004A2F83">
        <w:rPr>
          <w:i/>
          <w:iCs/>
          <w:sz w:val="22"/>
          <w:szCs w:val="22"/>
        </w:rPr>
        <w:t>2.6. PRO determination</w:t>
      </w:r>
    </w:p>
    <w:p w:rsidR="00B6707C" w:rsidRDefault="00B6707C" w:rsidP="005F7F82">
      <w:pPr>
        <w:tabs>
          <w:tab w:val="center" w:pos="4819"/>
        </w:tabs>
        <w:autoSpaceDE w:val="0"/>
        <w:autoSpaceDN w:val="0"/>
        <w:adjustRightInd w:val="0"/>
        <w:jc w:val="both"/>
        <w:rPr>
          <w:sz w:val="22"/>
          <w:szCs w:val="22"/>
        </w:rPr>
      </w:pPr>
      <w:r w:rsidRPr="004A2F83">
        <w:rPr>
          <w:sz w:val="22"/>
          <w:szCs w:val="22"/>
        </w:rPr>
        <w:t xml:space="preserve">PRO content was determined in fresh leaves using the method of Bates </w:t>
      </w:r>
      <w:r w:rsidRPr="004A2F83">
        <w:rPr>
          <w:i/>
          <w:iCs/>
          <w:sz w:val="22"/>
          <w:szCs w:val="22"/>
        </w:rPr>
        <w:t>et al</w:t>
      </w:r>
      <w:r w:rsidRPr="004A2F83">
        <w:rPr>
          <w:sz w:val="22"/>
          <w:szCs w:val="22"/>
        </w:rPr>
        <w:t xml:space="preserve"> [19].</w:t>
      </w:r>
    </w:p>
    <w:p w:rsidR="00DE77D5" w:rsidRDefault="00DE77D5" w:rsidP="005F7F82">
      <w:pPr>
        <w:pStyle w:val="Retraitcorpsdetexte"/>
        <w:ind w:firstLine="0"/>
        <w:jc w:val="both"/>
        <w:rPr>
          <w:i/>
          <w:iCs/>
          <w:sz w:val="22"/>
          <w:szCs w:val="22"/>
        </w:rPr>
      </w:pPr>
    </w:p>
    <w:p w:rsidR="00AB2250" w:rsidRDefault="00AB2250" w:rsidP="005F7F82">
      <w:pPr>
        <w:pStyle w:val="Retraitcorpsdetexte"/>
        <w:ind w:firstLine="0"/>
        <w:jc w:val="both"/>
        <w:rPr>
          <w:i/>
          <w:iCs/>
          <w:sz w:val="22"/>
          <w:szCs w:val="22"/>
        </w:rPr>
      </w:pPr>
    </w:p>
    <w:p w:rsidR="00B6707C" w:rsidRPr="004A2F83" w:rsidRDefault="00B6707C" w:rsidP="005F7F82">
      <w:pPr>
        <w:pStyle w:val="Retraitcorpsdetexte"/>
        <w:ind w:firstLine="0"/>
        <w:jc w:val="both"/>
        <w:rPr>
          <w:i/>
          <w:iCs/>
          <w:sz w:val="22"/>
          <w:szCs w:val="22"/>
        </w:rPr>
      </w:pPr>
      <w:r w:rsidRPr="004A2F83">
        <w:rPr>
          <w:i/>
          <w:iCs/>
          <w:sz w:val="22"/>
          <w:szCs w:val="22"/>
        </w:rPr>
        <w:lastRenderedPageBreak/>
        <w:t xml:space="preserve">2.7. TSS determination </w:t>
      </w:r>
    </w:p>
    <w:p w:rsidR="00B6707C" w:rsidRPr="004A2F83" w:rsidRDefault="00B6707C" w:rsidP="005F7F82">
      <w:pPr>
        <w:pStyle w:val="Retraitcorpsdetexte"/>
        <w:ind w:firstLine="0"/>
        <w:jc w:val="both"/>
        <w:rPr>
          <w:rFonts w:cs="Times New Roman"/>
          <w:sz w:val="22"/>
          <w:szCs w:val="22"/>
        </w:rPr>
      </w:pPr>
      <w:r w:rsidRPr="004A2F83">
        <w:rPr>
          <w:sz w:val="22"/>
          <w:szCs w:val="22"/>
        </w:rPr>
        <w:t xml:space="preserve">TSS contents were determined from plant material (young leaves) collected from each treatment. The method of Dubois </w:t>
      </w:r>
      <w:r w:rsidRPr="004A2F83">
        <w:rPr>
          <w:i/>
          <w:iCs/>
          <w:sz w:val="22"/>
          <w:szCs w:val="22"/>
        </w:rPr>
        <w:t xml:space="preserve">et al </w:t>
      </w:r>
      <w:r w:rsidRPr="004A2F83">
        <w:rPr>
          <w:sz w:val="22"/>
          <w:szCs w:val="22"/>
        </w:rPr>
        <w:t>[20] was used.</w:t>
      </w:r>
    </w:p>
    <w:p w:rsidR="00DE77D5" w:rsidRDefault="00DE77D5" w:rsidP="005F7F82">
      <w:pPr>
        <w:autoSpaceDE w:val="0"/>
        <w:autoSpaceDN w:val="0"/>
        <w:adjustRightInd w:val="0"/>
        <w:jc w:val="both"/>
        <w:rPr>
          <w:i/>
          <w:iCs/>
          <w:sz w:val="22"/>
          <w:szCs w:val="22"/>
          <w:lang w:bidi="hi-IN"/>
        </w:rPr>
      </w:pPr>
    </w:p>
    <w:p w:rsidR="00B6707C" w:rsidRPr="004A2F83" w:rsidRDefault="00B6707C" w:rsidP="005F7F82">
      <w:pPr>
        <w:autoSpaceDE w:val="0"/>
        <w:autoSpaceDN w:val="0"/>
        <w:adjustRightInd w:val="0"/>
        <w:jc w:val="both"/>
        <w:rPr>
          <w:i/>
          <w:iCs/>
          <w:sz w:val="22"/>
          <w:szCs w:val="22"/>
          <w:lang w:bidi="hi-IN"/>
        </w:rPr>
      </w:pPr>
      <w:r w:rsidRPr="004A2F83">
        <w:rPr>
          <w:i/>
          <w:iCs/>
          <w:sz w:val="22"/>
          <w:szCs w:val="22"/>
          <w:lang w:bidi="hi-IN"/>
        </w:rPr>
        <w:t xml:space="preserve">2. 8. N and CP </w:t>
      </w:r>
      <w:r w:rsidRPr="004A2F83">
        <w:rPr>
          <w:i/>
          <w:iCs/>
          <w:sz w:val="22"/>
          <w:szCs w:val="22"/>
        </w:rPr>
        <w:t>determination</w:t>
      </w:r>
      <w:r w:rsidRPr="004A2F83">
        <w:rPr>
          <w:i/>
          <w:iCs/>
          <w:sz w:val="22"/>
          <w:szCs w:val="22"/>
          <w:lang w:bidi="hi-IN"/>
        </w:rPr>
        <w:t xml:space="preserve"> </w:t>
      </w:r>
    </w:p>
    <w:p w:rsidR="00B6707C" w:rsidRDefault="00B6707C" w:rsidP="005F7F82">
      <w:pPr>
        <w:autoSpaceDE w:val="0"/>
        <w:autoSpaceDN w:val="0"/>
        <w:adjustRightInd w:val="0"/>
        <w:jc w:val="both"/>
        <w:rPr>
          <w:sz w:val="22"/>
          <w:szCs w:val="22"/>
        </w:rPr>
      </w:pPr>
      <w:r w:rsidRPr="004A2F83">
        <w:rPr>
          <w:sz w:val="22"/>
          <w:szCs w:val="22"/>
          <w:lang w:bidi="hi-IN"/>
        </w:rPr>
        <w:t>Total N and CP in leaves</w:t>
      </w:r>
      <w:r w:rsidRPr="004A2F83">
        <w:rPr>
          <w:sz w:val="22"/>
          <w:szCs w:val="22"/>
        </w:rPr>
        <w:t xml:space="preserve"> </w:t>
      </w:r>
      <w:r w:rsidRPr="004A2F83">
        <w:rPr>
          <w:sz w:val="22"/>
          <w:szCs w:val="22"/>
          <w:lang w:bidi="hi-IN"/>
        </w:rPr>
        <w:t xml:space="preserve">of each treatment were determined using the methods described by the </w:t>
      </w:r>
      <w:r w:rsidRPr="004A2F83">
        <w:rPr>
          <w:sz w:val="22"/>
          <w:szCs w:val="22"/>
        </w:rPr>
        <w:t xml:space="preserve">AOAC [21]. </w:t>
      </w:r>
    </w:p>
    <w:p w:rsidR="005F7F82" w:rsidRPr="004A2F83" w:rsidRDefault="005F7F82" w:rsidP="005F7F82">
      <w:pPr>
        <w:autoSpaceDE w:val="0"/>
        <w:autoSpaceDN w:val="0"/>
        <w:adjustRightInd w:val="0"/>
        <w:jc w:val="both"/>
        <w:rPr>
          <w:sz w:val="22"/>
          <w:szCs w:val="22"/>
          <w:lang w:bidi="hi-IN"/>
        </w:rPr>
      </w:pPr>
    </w:p>
    <w:p w:rsidR="00B6707C" w:rsidRPr="004A2F83" w:rsidRDefault="00B6707C" w:rsidP="005F7F82">
      <w:pPr>
        <w:autoSpaceDE w:val="0"/>
        <w:autoSpaceDN w:val="0"/>
        <w:adjustRightInd w:val="0"/>
        <w:jc w:val="both"/>
        <w:rPr>
          <w:i/>
          <w:iCs/>
          <w:sz w:val="22"/>
          <w:szCs w:val="22"/>
        </w:rPr>
      </w:pPr>
      <w:r w:rsidRPr="004A2F83">
        <w:rPr>
          <w:i/>
          <w:iCs/>
          <w:sz w:val="22"/>
          <w:szCs w:val="22"/>
        </w:rPr>
        <w:t>2.9. Statistical analysis</w:t>
      </w:r>
    </w:p>
    <w:p w:rsidR="00B6707C" w:rsidRDefault="00B6707C" w:rsidP="00AB2250">
      <w:pPr>
        <w:autoSpaceDE w:val="0"/>
        <w:autoSpaceDN w:val="0"/>
        <w:adjustRightInd w:val="0"/>
        <w:jc w:val="both"/>
        <w:rPr>
          <w:sz w:val="22"/>
          <w:szCs w:val="22"/>
        </w:rPr>
      </w:pPr>
      <w:r w:rsidRPr="004A2F83">
        <w:rPr>
          <w:sz w:val="22"/>
          <w:szCs w:val="22"/>
        </w:rPr>
        <w:t xml:space="preserve"> In this experiment, one factor</w:t>
      </w:r>
      <w:r w:rsidRPr="004A2F83">
        <w:rPr>
          <w:sz w:val="22"/>
          <w:szCs w:val="22"/>
          <w:lang w:eastAsia="ja-JP"/>
        </w:rPr>
        <w:t xml:space="preserve"> was considered:</w:t>
      </w:r>
      <w:r w:rsidRPr="004A2F83">
        <w:rPr>
          <w:sz w:val="22"/>
          <w:szCs w:val="22"/>
        </w:rPr>
        <w:t xml:space="preserve"> water salinity [0.4 (tap water as control), 1.6, 3.1 and 4.7 dSm</w:t>
      </w:r>
      <w:r w:rsidRPr="004A2F83">
        <w:rPr>
          <w:sz w:val="22"/>
          <w:szCs w:val="22"/>
          <w:vertAlign w:val="superscript"/>
        </w:rPr>
        <w:t>-1</w:t>
      </w:r>
      <w:r w:rsidRPr="004A2F83">
        <w:rPr>
          <w:sz w:val="22"/>
          <w:szCs w:val="22"/>
        </w:rPr>
        <w:t>]. For each treatment</w:t>
      </w:r>
      <w:r w:rsidRPr="004A2F83">
        <w:rPr>
          <w:sz w:val="22"/>
          <w:szCs w:val="22"/>
          <w:lang w:eastAsia="ja-JP"/>
        </w:rPr>
        <w:t xml:space="preserve"> there were</w:t>
      </w:r>
      <w:r w:rsidRPr="004A2F83">
        <w:rPr>
          <w:sz w:val="22"/>
          <w:szCs w:val="22"/>
        </w:rPr>
        <w:t xml:space="preserve"> 5 replicates</w:t>
      </w:r>
      <w:r w:rsidRPr="004A2F83">
        <w:rPr>
          <w:sz w:val="22"/>
          <w:szCs w:val="22"/>
          <w:lang w:eastAsia="ja-JP"/>
        </w:rPr>
        <w:t>,</w:t>
      </w:r>
      <w:r>
        <w:rPr>
          <w:sz w:val="22"/>
          <w:szCs w:val="22"/>
          <w:lang w:eastAsia="ja-JP"/>
        </w:rPr>
        <w:t xml:space="preserve"> e</w:t>
      </w:r>
      <w:r>
        <w:rPr>
          <w:sz w:val="22"/>
          <w:szCs w:val="22"/>
        </w:rPr>
        <w:t xml:space="preserve">ach </w:t>
      </w:r>
      <w:r>
        <w:rPr>
          <w:sz w:val="22"/>
          <w:szCs w:val="22"/>
          <w:lang w:eastAsia="ja-JP"/>
        </w:rPr>
        <w:t>of which</w:t>
      </w:r>
      <w:r>
        <w:rPr>
          <w:sz w:val="22"/>
          <w:szCs w:val="22"/>
        </w:rPr>
        <w:t xml:space="preserve"> had 8 pots; in each pot 3 individual</w:t>
      </w:r>
      <w:r>
        <w:rPr>
          <w:sz w:val="22"/>
          <w:szCs w:val="22"/>
          <w:lang w:eastAsia="ja-JP"/>
        </w:rPr>
        <w:t xml:space="preserve"> plant</w:t>
      </w:r>
      <w:r>
        <w:rPr>
          <w:sz w:val="22"/>
          <w:szCs w:val="22"/>
        </w:rPr>
        <w:t xml:space="preserve">s were planted. The experimental design followed </w:t>
      </w:r>
      <w:r>
        <w:rPr>
          <w:sz w:val="22"/>
          <w:szCs w:val="22"/>
          <w:lang w:eastAsia="ja-JP"/>
        </w:rPr>
        <w:t>a</w:t>
      </w:r>
      <w:r>
        <w:rPr>
          <w:sz w:val="22"/>
          <w:szCs w:val="22"/>
        </w:rPr>
        <w:t xml:space="preserve"> </w:t>
      </w:r>
      <w:r w:rsidRPr="005F7F82">
        <w:rPr>
          <w:sz w:val="22"/>
          <w:szCs w:val="22"/>
        </w:rPr>
        <w:t xml:space="preserve">complete </w:t>
      </w:r>
      <w:r w:rsidRPr="005F7F82">
        <w:t>randomized</w:t>
      </w:r>
      <w:r w:rsidRPr="005F7F82">
        <w:rPr>
          <w:sz w:val="22"/>
          <w:szCs w:val="22"/>
        </w:rPr>
        <w:t xml:space="preserve"> block</w:t>
      </w:r>
      <w:r>
        <w:rPr>
          <w:sz w:val="22"/>
          <w:szCs w:val="22"/>
        </w:rPr>
        <w:t xml:space="preserve"> design. According to Snedecor and </w:t>
      </w:r>
      <w:r>
        <w:rPr>
          <w:sz w:val="22"/>
          <w:szCs w:val="22"/>
          <w:lang w:bidi="hi-IN"/>
        </w:rPr>
        <w:t xml:space="preserve">Cochran </w:t>
      </w:r>
      <w:r w:rsidRPr="004A2F83">
        <w:rPr>
          <w:sz w:val="22"/>
          <w:szCs w:val="22"/>
        </w:rPr>
        <w:t xml:space="preserve">[22] </w:t>
      </w:r>
      <w:r>
        <w:rPr>
          <w:sz w:val="22"/>
          <w:szCs w:val="22"/>
        </w:rPr>
        <w:t>the averages of data were statistically analyzed using one</w:t>
      </w:r>
      <w:r>
        <w:rPr>
          <w:sz w:val="22"/>
          <w:szCs w:val="22"/>
          <w:lang w:eastAsia="ja-JP"/>
        </w:rPr>
        <w:t>-</w:t>
      </w:r>
      <w:r>
        <w:rPr>
          <w:sz w:val="22"/>
          <w:szCs w:val="22"/>
        </w:rPr>
        <w:t xml:space="preserve">way analysis of variance (ANOVA-1). Significant values determined according to p values (p&lt;0.05 = significant, p&lt;0.01 = moderate significant and p&lt;0.001=highly significant). The applications of that technique were according to </w:t>
      </w:r>
      <w:r>
        <w:rPr>
          <w:sz w:val="22"/>
          <w:szCs w:val="22"/>
          <w:lang w:eastAsia="ja-JP"/>
        </w:rPr>
        <w:t xml:space="preserve">the </w:t>
      </w:r>
      <w:r>
        <w:rPr>
          <w:sz w:val="22"/>
          <w:szCs w:val="22"/>
        </w:rPr>
        <w:t xml:space="preserve">STAT-ITCF </w:t>
      </w:r>
      <w:r w:rsidR="00AB2250">
        <w:rPr>
          <w:sz w:val="22"/>
          <w:szCs w:val="22"/>
        </w:rPr>
        <w:t>program [23]</w:t>
      </w:r>
    </w:p>
    <w:p w:rsidR="005F7F82" w:rsidRDefault="005F7F82" w:rsidP="005F7F82">
      <w:pPr>
        <w:autoSpaceDE w:val="0"/>
        <w:autoSpaceDN w:val="0"/>
        <w:adjustRightInd w:val="0"/>
        <w:jc w:val="both"/>
        <w:rPr>
          <w:b/>
          <w:bCs/>
          <w:sz w:val="22"/>
          <w:szCs w:val="22"/>
        </w:rPr>
      </w:pPr>
    </w:p>
    <w:p w:rsidR="00B6707C" w:rsidRDefault="00B6707C" w:rsidP="005F7F82">
      <w:pPr>
        <w:autoSpaceDE w:val="0"/>
        <w:autoSpaceDN w:val="0"/>
        <w:adjustRightInd w:val="0"/>
        <w:jc w:val="lowKashida"/>
        <w:rPr>
          <w:b/>
          <w:bCs/>
          <w:caps/>
        </w:rPr>
      </w:pPr>
      <w:r>
        <w:rPr>
          <w:b/>
          <w:bCs/>
          <w:caps/>
        </w:rPr>
        <w:t xml:space="preserve">3. </w:t>
      </w:r>
      <w:r>
        <w:rPr>
          <w:b/>
          <w:bCs/>
        </w:rPr>
        <w:t>Results</w:t>
      </w:r>
      <w:r>
        <w:rPr>
          <w:b/>
          <w:bCs/>
          <w:caps/>
        </w:rPr>
        <w:t xml:space="preserve">  </w:t>
      </w:r>
    </w:p>
    <w:p w:rsidR="00B6707C" w:rsidRDefault="00B6707C" w:rsidP="005F7F82">
      <w:pPr>
        <w:autoSpaceDE w:val="0"/>
        <w:autoSpaceDN w:val="0"/>
        <w:adjustRightInd w:val="0"/>
        <w:jc w:val="both"/>
        <w:rPr>
          <w:i/>
          <w:iCs/>
          <w:sz w:val="22"/>
          <w:szCs w:val="22"/>
        </w:rPr>
      </w:pPr>
      <w:r>
        <w:rPr>
          <w:i/>
          <w:iCs/>
          <w:sz w:val="22"/>
          <w:szCs w:val="22"/>
        </w:rPr>
        <w:t xml:space="preserve">3.1 Effect of salinity on PGC </w:t>
      </w:r>
    </w:p>
    <w:p w:rsidR="00B6707C" w:rsidRDefault="00B6707C" w:rsidP="005F7F82">
      <w:pPr>
        <w:autoSpaceDE w:val="0"/>
        <w:autoSpaceDN w:val="0"/>
        <w:adjustRightInd w:val="0"/>
        <w:jc w:val="both"/>
        <w:rPr>
          <w:sz w:val="22"/>
          <w:szCs w:val="22"/>
        </w:rPr>
      </w:pPr>
      <w:r>
        <w:rPr>
          <w:sz w:val="22"/>
          <w:szCs w:val="22"/>
        </w:rPr>
        <w:t xml:space="preserve">PGC i.e. PH, NL, NB, NC, DWH and YS were affected by different salinity levels. Generally the different PGC reduced under the various </w:t>
      </w:r>
      <w:r w:rsidRPr="005F7F82">
        <w:rPr>
          <w:sz w:val="22"/>
          <w:szCs w:val="22"/>
        </w:rPr>
        <w:t xml:space="preserve">salinity treatments compared with control. The lowest PGC were obtained </w:t>
      </w:r>
      <w:r w:rsidRPr="005F7F82">
        <w:rPr>
          <w:sz w:val="22"/>
          <w:szCs w:val="22"/>
          <w:lang w:eastAsia="ja-JP"/>
        </w:rPr>
        <w:t>at</w:t>
      </w:r>
      <w:r w:rsidRPr="005F7F82">
        <w:rPr>
          <w:sz w:val="22"/>
          <w:szCs w:val="22"/>
        </w:rPr>
        <w:t xml:space="preserve"> 6.3 dSm</w:t>
      </w:r>
      <w:r w:rsidRPr="005F7F82">
        <w:rPr>
          <w:sz w:val="22"/>
          <w:szCs w:val="22"/>
          <w:vertAlign w:val="superscript"/>
        </w:rPr>
        <w:t xml:space="preserve">-1 </w:t>
      </w:r>
      <w:r w:rsidRPr="005F7F82">
        <w:rPr>
          <w:sz w:val="22"/>
          <w:szCs w:val="22"/>
        </w:rPr>
        <w:t xml:space="preserve">with the values of 6.8, 13.5, 2.5, 3.5, 0.8 and 0.7. Greatest PGC for all variables were obtained </w:t>
      </w:r>
      <w:r w:rsidRPr="005F7F82">
        <w:rPr>
          <w:sz w:val="22"/>
          <w:szCs w:val="22"/>
          <w:lang w:eastAsia="ja-JP"/>
        </w:rPr>
        <w:t>in the</w:t>
      </w:r>
      <w:r w:rsidRPr="005F7F82">
        <w:rPr>
          <w:sz w:val="22"/>
          <w:szCs w:val="22"/>
        </w:rPr>
        <w:t xml:space="preserve"> 0.4 dSm</w:t>
      </w:r>
      <w:r w:rsidRPr="005F7F82">
        <w:rPr>
          <w:sz w:val="22"/>
          <w:szCs w:val="22"/>
          <w:vertAlign w:val="superscript"/>
        </w:rPr>
        <w:t>-1</w:t>
      </w:r>
      <w:r w:rsidRPr="005F7F82">
        <w:rPr>
          <w:sz w:val="22"/>
          <w:szCs w:val="22"/>
        </w:rPr>
        <w:t xml:space="preserve"> treatment with the values of 16.5, 43.9, 4.6, 8.5, 20.8 and 4.4 (Fig. 1-6).</w:t>
      </w:r>
      <w:r w:rsidRPr="005F7F82">
        <w:rPr>
          <w:sz w:val="22"/>
          <w:szCs w:val="22"/>
          <w:lang w:eastAsia="ja-JP"/>
        </w:rPr>
        <w:t xml:space="preserve"> ANOVA</w:t>
      </w:r>
      <w:r w:rsidRPr="005F7F82">
        <w:rPr>
          <w:sz w:val="22"/>
          <w:szCs w:val="22"/>
        </w:rPr>
        <w:t xml:space="preserve"> indicated that </w:t>
      </w:r>
      <w:r w:rsidRPr="005F7F82">
        <w:rPr>
          <w:sz w:val="22"/>
          <w:szCs w:val="22"/>
          <w:lang w:eastAsia="ja-JP"/>
        </w:rPr>
        <w:t xml:space="preserve">the decrease in </w:t>
      </w:r>
      <w:r w:rsidRPr="005F7F82">
        <w:rPr>
          <w:sz w:val="22"/>
          <w:szCs w:val="22"/>
        </w:rPr>
        <w:t xml:space="preserve">PGC i.e. PH, NL, NP, NC </w:t>
      </w:r>
      <w:r w:rsidRPr="005F7F82">
        <w:rPr>
          <w:sz w:val="22"/>
          <w:szCs w:val="22"/>
          <w:lang w:eastAsia="ja-JP"/>
        </w:rPr>
        <w:t xml:space="preserve">were </w:t>
      </w:r>
      <w:r w:rsidRPr="005F7F82">
        <w:rPr>
          <w:sz w:val="22"/>
          <w:szCs w:val="22"/>
        </w:rPr>
        <w:t>highly significant</w:t>
      </w:r>
      <w:r w:rsidRPr="005F7F82">
        <w:rPr>
          <w:sz w:val="22"/>
          <w:szCs w:val="22"/>
          <w:lang w:eastAsia="ja-JP"/>
        </w:rPr>
        <w:t xml:space="preserve"> but</w:t>
      </w:r>
      <w:r w:rsidRPr="005F7F82">
        <w:rPr>
          <w:sz w:val="22"/>
          <w:szCs w:val="22"/>
        </w:rPr>
        <w:t xml:space="preserve"> insignificant</w:t>
      </w:r>
      <w:r w:rsidRPr="005F7F82">
        <w:rPr>
          <w:sz w:val="22"/>
          <w:szCs w:val="22"/>
          <w:lang w:eastAsia="ja-JP"/>
        </w:rPr>
        <w:t xml:space="preserve"> for</w:t>
      </w:r>
      <w:r w:rsidRPr="005F7F82">
        <w:rPr>
          <w:sz w:val="22"/>
          <w:szCs w:val="22"/>
        </w:rPr>
        <w:t xml:space="preserve"> DWH while </w:t>
      </w:r>
      <w:r w:rsidRPr="005F7F82">
        <w:rPr>
          <w:sz w:val="22"/>
          <w:szCs w:val="22"/>
          <w:lang w:eastAsia="ja-JP"/>
        </w:rPr>
        <w:t xml:space="preserve">the reduction in the </w:t>
      </w:r>
      <w:r w:rsidRPr="005F7F82">
        <w:rPr>
          <w:sz w:val="22"/>
          <w:szCs w:val="22"/>
        </w:rPr>
        <w:t xml:space="preserve">YS </w:t>
      </w:r>
      <w:r w:rsidRPr="005F7F82">
        <w:rPr>
          <w:sz w:val="22"/>
          <w:szCs w:val="22"/>
          <w:lang w:eastAsia="ja-JP"/>
        </w:rPr>
        <w:t>was</w:t>
      </w:r>
      <w:r w:rsidRPr="005F7F82">
        <w:rPr>
          <w:sz w:val="22"/>
          <w:szCs w:val="22"/>
        </w:rPr>
        <w:t xml:space="preserve"> significant </w:t>
      </w:r>
      <w:r w:rsidRPr="005F7F82">
        <w:rPr>
          <w:sz w:val="22"/>
          <w:szCs w:val="22"/>
          <w:lang w:eastAsia="ja-JP"/>
        </w:rPr>
        <w:t>in</w:t>
      </w:r>
      <w:r w:rsidRPr="005F7F82">
        <w:rPr>
          <w:sz w:val="22"/>
          <w:szCs w:val="22"/>
        </w:rPr>
        <w:t xml:space="preserve"> salinity levels.</w:t>
      </w:r>
    </w:p>
    <w:tbl>
      <w:tblPr>
        <w:tblW w:w="0" w:type="auto"/>
        <w:jc w:val="center"/>
        <w:tblLayout w:type="fixed"/>
        <w:tblLook w:val="0000"/>
      </w:tblPr>
      <w:tblGrid>
        <w:gridCol w:w="4474"/>
        <w:gridCol w:w="5040"/>
      </w:tblGrid>
      <w:tr w:rsidR="00B6707C" w:rsidRPr="007F4230">
        <w:trPr>
          <w:trHeight w:val="3311"/>
          <w:jc w:val="center"/>
        </w:trPr>
        <w:tc>
          <w:tcPr>
            <w:tcW w:w="4474" w:type="dxa"/>
            <w:vAlign w:val="center"/>
          </w:tcPr>
          <w:p w:rsidR="00B6707C" w:rsidRPr="007F4230" w:rsidRDefault="00AB2250" w:rsidP="005F7F82">
            <w:pPr>
              <w:ind w:left="360" w:hanging="360"/>
              <w:jc w:val="center"/>
              <w:rPr>
                <w:sz w:val="20"/>
                <w:szCs w:val="20"/>
              </w:rPr>
            </w:pPr>
            <w:r>
              <w:rPr>
                <w:noProof/>
                <w:sz w:val="20"/>
                <w:szCs w:val="20"/>
                <w:lang w:val="fr-FR" w:eastAsia="fr-FR"/>
              </w:rPr>
              <w:drawing>
                <wp:inline distT="0" distB="0" distL="0" distR="0">
                  <wp:extent cx="2832100" cy="195326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32100" cy="1953260"/>
                          </a:xfrm>
                          <a:prstGeom prst="rect">
                            <a:avLst/>
                          </a:prstGeom>
                          <a:noFill/>
                          <a:ln w="9525">
                            <a:noFill/>
                            <a:miter lim="800000"/>
                            <a:headEnd/>
                            <a:tailEnd/>
                          </a:ln>
                        </pic:spPr>
                      </pic:pic>
                    </a:graphicData>
                  </a:graphic>
                </wp:inline>
              </w:drawing>
            </w:r>
          </w:p>
        </w:tc>
        <w:tc>
          <w:tcPr>
            <w:tcW w:w="5040" w:type="dxa"/>
            <w:vAlign w:val="center"/>
          </w:tcPr>
          <w:p w:rsidR="00B6707C" w:rsidRPr="007F4230" w:rsidRDefault="00AB2250" w:rsidP="005F7F82">
            <w:pPr>
              <w:ind w:left="360" w:hanging="360"/>
              <w:jc w:val="center"/>
              <w:rPr>
                <w:sz w:val="20"/>
                <w:szCs w:val="20"/>
              </w:rPr>
            </w:pPr>
            <w:r>
              <w:rPr>
                <w:noProof/>
                <w:sz w:val="20"/>
                <w:szCs w:val="20"/>
                <w:lang w:val="fr-FR" w:eastAsia="fr-FR"/>
              </w:rPr>
              <w:drawing>
                <wp:inline distT="0" distB="0" distL="0" distR="0">
                  <wp:extent cx="2879725" cy="18408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79725" cy="1840865"/>
                          </a:xfrm>
                          <a:prstGeom prst="rect">
                            <a:avLst/>
                          </a:prstGeom>
                          <a:noFill/>
                          <a:ln w="9525">
                            <a:noFill/>
                            <a:miter lim="800000"/>
                            <a:headEnd/>
                            <a:tailEnd/>
                          </a:ln>
                        </pic:spPr>
                      </pic:pic>
                    </a:graphicData>
                  </a:graphic>
                </wp:inline>
              </w:drawing>
            </w:r>
          </w:p>
        </w:tc>
      </w:tr>
      <w:tr w:rsidR="00B6707C" w:rsidRPr="007F4230">
        <w:trPr>
          <w:trHeight w:val="250"/>
          <w:jc w:val="center"/>
        </w:trPr>
        <w:tc>
          <w:tcPr>
            <w:tcW w:w="4474" w:type="dxa"/>
            <w:vAlign w:val="center"/>
          </w:tcPr>
          <w:p w:rsidR="00B6707C" w:rsidRPr="007F4230" w:rsidRDefault="00B6707C" w:rsidP="005F7F82">
            <w:pPr>
              <w:ind w:left="360" w:hanging="360"/>
              <w:jc w:val="center"/>
              <w:rPr>
                <w:sz w:val="20"/>
                <w:szCs w:val="20"/>
              </w:rPr>
            </w:pPr>
            <w:r w:rsidRPr="005F7F82">
              <w:rPr>
                <w:b/>
                <w:bCs/>
                <w:sz w:val="20"/>
                <w:szCs w:val="20"/>
              </w:rPr>
              <w:t>Fig. 1.</w:t>
            </w:r>
            <w:r w:rsidRPr="007F4230">
              <w:rPr>
                <w:sz w:val="20"/>
                <w:szCs w:val="20"/>
              </w:rPr>
              <w:t xml:space="preserve"> Effect of salinity on PH.</w:t>
            </w:r>
          </w:p>
        </w:tc>
        <w:tc>
          <w:tcPr>
            <w:tcW w:w="5040" w:type="dxa"/>
            <w:vAlign w:val="center"/>
          </w:tcPr>
          <w:p w:rsidR="00B6707C" w:rsidRPr="007F4230" w:rsidRDefault="00B6707C" w:rsidP="005F7F82">
            <w:pPr>
              <w:ind w:left="360" w:hanging="360"/>
              <w:jc w:val="center"/>
              <w:rPr>
                <w:sz w:val="20"/>
                <w:szCs w:val="20"/>
              </w:rPr>
            </w:pPr>
            <w:r w:rsidRPr="005F7F82">
              <w:rPr>
                <w:b/>
                <w:bCs/>
                <w:sz w:val="20"/>
                <w:szCs w:val="20"/>
              </w:rPr>
              <w:t>Fig. 2.</w:t>
            </w:r>
            <w:r w:rsidRPr="007F4230">
              <w:rPr>
                <w:sz w:val="20"/>
                <w:szCs w:val="20"/>
              </w:rPr>
              <w:t xml:space="preserve"> Effect of salinity on NL.</w:t>
            </w:r>
          </w:p>
        </w:tc>
      </w:tr>
      <w:tr w:rsidR="00B6707C" w:rsidRPr="007F4230">
        <w:trPr>
          <w:trHeight w:val="3288"/>
          <w:jc w:val="center"/>
        </w:trPr>
        <w:tc>
          <w:tcPr>
            <w:tcW w:w="4474" w:type="dxa"/>
            <w:vAlign w:val="center"/>
          </w:tcPr>
          <w:p w:rsidR="00B6707C" w:rsidRPr="007F4230" w:rsidRDefault="00AB2250" w:rsidP="005F7F82">
            <w:pPr>
              <w:ind w:left="360" w:hanging="360"/>
              <w:jc w:val="center"/>
              <w:rPr>
                <w:sz w:val="20"/>
                <w:szCs w:val="20"/>
              </w:rPr>
            </w:pPr>
            <w:r>
              <w:rPr>
                <w:noProof/>
                <w:sz w:val="20"/>
                <w:szCs w:val="20"/>
                <w:lang w:val="fr-FR" w:eastAsia="fr-FR"/>
              </w:rPr>
              <w:drawing>
                <wp:inline distT="0" distB="0" distL="0" distR="0">
                  <wp:extent cx="2885440" cy="19596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885440" cy="1959610"/>
                          </a:xfrm>
                          <a:prstGeom prst="rect">
                            <a:avLst/>
                          </a:prstGeom>
                          <a:noFill/>
                          <a:ln w="9525">
                            <a:noFill/>
                            <a:miter lim="800000"/>
                            <a:headEnd/>
                            <a:tailEnd/>
                          </a:ln>
                        </pic:spPr>
                      </pic:pic>
                    </a:graphicData>
                  </a:graphic>
                </wp:inline>
              </w:drawing>
            </w:r>
          </w:p>
        </w:tc>
        <w:tc>
          <w:tcPr>
            <w:tcW w:w="5040" w:type="dxa"/>
            <w:vAlign w:val="center"/>
          </w:tcPr>
          <w:p w:rsidR="00B6707C" w:rsidRPr="007F4230" w:rsidRDefault="00AB2250" w:rsidP="005F7F82">
            <w:pPr>
              <w:ind w:left="360" w:hanging="360"/>
              <w:jc w:val="center"/>
              <w:rPr>
                <w:sz w:val="20"/>
                <w:szCs w:val="20"/>
              </w:rPr>
            </w:pPr>
            <w:r>
              <w:rPr>
                <w:noProof/>
                <w:sz w:val="20"/>
                <w:szCs w:val="20"/>
                <w:lang w:val="fr-FR" w:eastAsia="fr-FR"/>
              </w:rPr>
              <w:drawing>
                <wp:inline distT="0" distB="0" distL="0" distR="0">
                  <wp:extent cx="2897505" cy="1876425"/>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897505" cy="1876425"/>
                          </a:xfrm>
                          <a:prstGeom prst="rect">
                            <a:avLst/>
                          </a:prstGeom>
                          <a:noFill/>
                          <a:ln w="9525">
                            <a:noFill/>
                            <a:miter lim="800000"/>
                            <a:headEnd/>
                            <a:tailEnd/>
                          </a:ln>
                        </pic:spPr>
                      </pic:pic>
                    </a:graphicData>
                  </a:graphic>
                </wp:inline>
              </w:drawing>
            </w:r>
          </w:p>
        </w:tc>
      </w:tr>
      <w:tr w:rsidR="00B6707C" w:rsidRPr="007F4230">
        <w:trPr>
          <w:trHeight w:val="350"/>
          <w:jc w:val="center"/>
        </w:trPr>
        <w:tc>
          <w:tcPr>
            <w:tcW w:w="4474" w:type="dxa"/>
            <w:vAlign w:val="center"/>
          </w:tcPr>
          <w:p w:rsidR="00B6707C" w:rsidRPr="007F4230" w:rsidRDefault="00B6707C" w:rsidP="005F7F82">
            <w:pPr>
              <w:ind w:left="360" w:hanging="360"/>
              <w:jc w:val="center"/>
              <w:rPr>
                <w:sz w:val="20"/>
                <w:szCs w:val="20"/>
              </w:rPr>
            </w:pPr>
            <w:r w:rsidRPr="005F7F82">
              <w:rPr>
                <w:b/>
                <w:bCs/>
                <w:sz w:val="20"/>
                <w:szCs w:val="20"/>
              </w:rPr>
              <w:t>Fig. 3.</w:t>
            </w:r>
            <w:r w:rsidRPr="007F4230">
              <w:rPr>
                <w:sz w:val="20"/>
                <w:szCs w:val="20"/>
              </w:rPr>
              <w:t xml:space="preserve">  Effect of salinity on NB.</w:t>
            </w:r>
          </w:p>
        </w:tc>
        <w:tc>
          <w:tcPr>
            <w:tcW w:w="5040" w:type="dxa"/>
            <w:vAlign w:val="center"/>
          </w:tcPr>
          <w:p w:rsidR="00B6707C" w:rsidRPr="007F4230" w:rsidRDefault="00B6707C" w:rsidP="005F7F82">
            <w:pPr>
              <w:ind w:left="360" w:hanging="360"/>
              <w:jc w:val="center"/>
              <w:rPr>
                <w:sz w:val="20"/>
                <w:szCs w:val="20"/>
              </w:rPr>
            </w:pPr>
            <w:r w:rsidRPr="005F7F82">
              <w:rPr>
                <w:b/>
                <w:bCs/>
                <w:sz w:val="20"/>
                <w:szCs w:val="20"/>
              </w:rPr>
              <w:t>Fig. 4.</w:t>
            </w:r>
            <w:r w:rsidRPr="007F4230">
              <w:rPr>
                <w:sz w:val="20"/>
                <w:szCs w:val="20"/>
              </w:rPr>
              <w:t xml:space="preserve"> Effect of salinity on NC.</w:t>
            </w:r>
          </w:p>
        </w:tc>
      </w:tr>
      <w:tr w:rsidR="00B6707C" w:rsidRPr="007F4230">
        <w:trPr>
          <w:trHeight w:val="2973"/>
          <w:jc w:val="center"/>
        </w:trPr>
        <w:tc>
          <w:tcPr>
            <w:tcW w:w="4474" w:type="dxa"/>
            <w:vAlign w:val="center"/>
          </w:tcPr>
          <w:p w:rsidR="00B6707C" w:rsidRPr="007F4230" w:rsidRDefault="00AB2250" w:rsidP="005F7F82">
            <w:pPr>
              <w:ind w:left="360" w:hanging="360"/>
              <w:jc w:val="center"/>
              <w:rPr>
                <w:sz w:val="20"/>
                <w:szCs w:val="20"/>
              </w:rPr>
            </w:pPr>
            <w:r>
              <w:rPr>
                <w:noProof/>
                <w:sz w:val="20"/>
                <w:szCs w:val="20"/>
                <w:lang w:val="fr-FR" w:eastAsia="fr-FR"/>
              </w:rPr>
              <w:lastRenderedPageBreak/>
              <w:drawing>
                <wp:inline distT="0" distB="0" distL="0" distR="0">
                  <wp:extent cx="2743200" cy="179895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43200" cy="1798955"/>
                          </a:xfrm>
                          <a:prstGeom prst="rect">
                            <a:avLst/>
                          </a:prstGeom>
                          <a:noFill/>
                          <a:ln w="9525">
                            <a:noFill/>
                            <a:miter lim="800000"/>
                            <a:headEnd/>
                            <a:tailEnd/>
                          </a:ln>
                        </pic:spPr>
                      </pic:pic>
                    </a:graphicData>
                  </a:graphic>
                </wp:inline>
              </w:drawing>
            </w:r>
          </w:p>
        </w:tc>
        <w:tc>
          <w:tcPr>
            <w:tcW w:w="5040" w:type="dxa"/>
            <w:vAlign w:val="center"/>
          </w:tcPr>
          <w:p w:rsidR="00B6707C" w:rsidRPr="007F4230" w:rsidRDefault="00AB2250" w:rsidP="005F7F82">
            <w:pPr>
              <w:ind w:left="360" w:hanging="360"/>
              <w:jc w:val="center"/>
              <w:rPr>
                <w:sz w:val="20"/>
                <w:szCs w:val="20"/>
              </w:rPr>
            </w:pPr>
            <w:r>
              <w:rPr>
                <w:noProof/>
                <w:sz w:val="20"/>
                <w:szCs w:val="20"/>
                <w:lang w:val="fr-FR" w:eastAsia="fr-FR"/>
              </w:rPr>
              <w:drawing>
                <wp:inline distT="0" distB="0" distL="0" distR="0">
                  <wp:extent cx="2743200" cy="177546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743200" cy="1775460"/>
                          </a:xfrm>
                          <a:prstGeom prst="rect">
                            <a:avLst/>
                          </a:prstGeom>
                          <a:noFill/>
                          <a:ln w="9525">
                            <a:noFill/>
                            <a:miter lim="800000"/>
                            <a:headEnd/>
                            <a:tailEnd/>
                          </a:ln>
                        </pic:spPr>
                      </pic:pic>
                    </a:graphicData>
                  </a:graphic>
                </wp:inline>
              </w:drawing>
            </w:r>
          </w:p>
        </w:tc>
      </w:tr>
      <w:tr w:rsidR="00B6707C" w:rsidRPr="007F4230">
        <w:trPr>
          <w:trHeight w:val="115"/>
          <w:jc w:val="center"/>
        </w:trPr>
        <w:tc>
          <w:tcPr>
            <w:tcW w:w="4474" w:type="dxa"/>
            <w:vAlign w:val="center"/>
          </w:tcPr>
          <w:p w:rsidR="00B6707C" w:rsidRPr="007F4230" w:rsidRDefault="00B6707C" w:rsidP="005F7F82">
            <w:pPr>
              <w:ind w:left="360" w:hanging="360"/>
              <w:jc w:val="center"/>
              <w:rPr>
                <w:sz w:val="20"/>
                <w:szCs w:val="20"/>
              </w:rPr>
            </w:pPr>
            <w:r w:rsidRPr="007F4230">
              <w:rPr>
                <w:sz w:val="20"/>
                <w:szCs w:val="20"/>
              </w:rPr>
              <w:t xml:space="preserve">    </w:t>
            </w:r>
            <w:r w:rsidRPr="005F7F82">
              <w:rPr>
                <w:b/>
                <w:bCs/>
                <w:sz w:val="20"/>
                <w:szCs w:val="20"/>
              </w:rPr>
              <w:t>Fig. 5.</w:t>
            </w:r>
            <w:r w:rsidRPr="007F4230">
              <w:rPr>
                <w:sz w:val="20"/>
                <w:szCs w:val="20"/>
              </w:rPr>
              <w:t xml:space="preserve"> Effect of salinity on DWH.</w:t>
            </w:r>
          </w:p>
        </w:tc>
        <w:tc>
          <w:tcPr>
            <w:tcW w:w="5040" w:type="dxa"/>
            <w:vAlign w:val="center"/>
          </w:tcPr>
          <w:p w:rsidR="00B6707C" w:rsidRPr="007F4230" w:rsidRDefault="00B6707C" w:rsidP="005F7F82">
            <w:pPr>
              <w:ind w:left="360" w:hanging="360"/>
              <w:jc w:val="center"/>
              <w:rPr>
                <w:sz w:val="20"/>
                <w:szCs w:val="20"/>
              </w:rPr>
            </w:pPr>
            <w:r w:rsidRPr="007F4230">
              <w:rPr>
                <w:sz w:val="20"/>
                <w:szCs w:val="20"/>
              </w:rPr>
              <w:t xml:space="preserve"> </w:t>
            </w:r>
            <w:r w:rsidRPr="005F7F82">
              <w:rPr>
                <w:b/>
                <w:bCs/>
                <w:sz w:val="20"/>
                <w:szCs w:val="20"/>
              </w:rPr>
              <w:t>Fig. 6.</w:t>
            </w:r>
            <w:r w:rsidRPr="007F4230">
              <w:rPr>
                <w:sz w:val="20"/>
                <w:szCs w:val="20"/>
              </w:rPr>
              <w:t xml:space="preserve"> Effect of salinity on YS.</w:t>
            </w:r>
          </w:p>
        </w:tc>
      </w:tr>
    </w:tbl>
    <w:p w:rsidR="00B6707C" w:rsidRDefault="00B6707C" w:rsidP="005F7F82">
      <w:pPr>
        <w:autoSpaceDE w:val="0"/>
        <w:autoSpaceDN w:val="0"/>
        <w:adjustRightInd w:val="0"/>
        <w:jc w:val="both"/>
        <w:rPr>
          <w:i/>
          <w:iCs/>
          <w:sz w:val="22"/>
          <w:szCs w:val="22"/>
        </w:rPr>
      </w:pPr>
    </w:p>
    <w:p w:rsidR="005F7F82" w:rsidRPr="005F7F82" w:rsidRDefault="005F7F82" w:rsidP="005F7F82">
      <w:pPr>
        <w:autoSpaceDE w:val="0"/>
        <w:autoSpaceDN w:val="0"/>
        <w:adjustRightInd w:val="0"/>
        <w:jc w:val="both"/>
        <w:rPr>
          <w:i/>
          <w:sz w:val="22"/>
          <w:szCs w:val="22"/>
        </w:rPr>
      </w:pPr>
      <w:r w:rsidRPr="005F7F82">
        <w:rPr>
          <w:i/>
          <w:sz w:val="22"/>
          <w:szCs w:val="22"/>
        </w:rPr>
        <w:t xml:space="preserve">3.2. Effect of salinity on EO composition </w:t>
      </w:r>
    </w:p>
    <w:p w:rsidR="005F7F82" w:rsidRDefault="005F7F82" w:rsidP="005F7F82">
      <w:pPr>
        <w:autoSpaceDE w:val="0"/>
        <w:autoSpaceDN w:val="0"/>
        <w:adjustRightInd w:val="0"/>
        <w:jc w:val="both"/>
        <w:rPr>
          <w:sz w:val="22"/>
          <w:szCs w:val="22"/>
        </w:rPr>
      </w:pPr>
      <w:r w:rsidRPr="005F7F82">
        <w:rPr>
          <w:sz w:val="22"/>
          <w:szCs w:val="22"/>
        </w:rPr>
        <w:t>As shown in Fig.7. EO percentage</w:t>
      </w:r>
      <w:r w:rsidRPr="005F7F82">
        <w:rPr>
          <w:sz w:val="22"/>
          <w:szCs w:val="22"/>
          <w:vertAlign w:val="superscript"/>
        </w:rPr>
        <w:t xml:space="preserve"> </w:t>
      </w:r>
      <w:r w:rsidRPr="005F7F82">
        <w:rPr>
          <w:sz w:val="22"/>
          <w:szCs w:val="22"/>
        </w:rPr>
        <w:t>increase</w:t>
      </w:r>
      <w:r w:rsidRPr="005F7F82">
        <w:rPr>
          <w:sz w:val="22"/>
          <w:szCs w:val="22"/>
          <w:lang w:eastAsia="ja-JP"/>
        </w:rPr>
        <w:t>d</w:t>
      </w:r>
      <w:r w:rsidRPr="005F7F82">
        <w:rPr>
          <w:sz w:val="22"/>
          <w:szCs w:val="22"/>
        </w:rPr>
        <w:t xml:space="preserve"> </w:t>
      </w:r>
      <w:r w:rsidRPr="005F7F82">
        <w:rPr>
          <w:sz w:val="22"/>
          <w:szCs w:val="22"/>
          <w:lang w:eastAsia="ja-JP"/>
        </w:rPr>
        <w:t>at all</w:t>
      </w:r>
      <w:r w:rsidRPr="005F7F82">
        <w:rPr>
          <w:sz w:val="22"/>
          <w:szCs w:val="22"/>
        </w:rPr>
        <w:t xml:space="preserve"> salinity levels. Salinity treatment of 6.3 dSm</w:t>
      </w:r>
      <w:r w:rsidRPr="005F7F82">
        <w:rPr>
          <w:sz w:val="22"/>
          <w:szCs w:val="22"/>
          <w:vertAlign w:val="superscript"/>
        </w:rPr>
        <w:t>-1</w:t>
      </w:r>
      <w:r w:rsidRPr="005F7F82">
        <w:rPr>
          <w:sz w:val="22"/>
          <w:szCs w:val="22"/>
        </w:rPr>
        <w:t xml:space="preserve"> resulted in greatest EO content (0.4%) while the untreated plants resulted in the lowest value (0.1 %</w:t>
      </w:r>
      <w:r w:rsidRPr="005F7F82">
        <w:rPr>
          <w:sz w:val="22"/>
          <w:szCs w:val="22"/>
          <w:vertAlign w:val="superscript"/>
        </w:rPr>
        <w:t>.</w:t>
      </w:r>
      <w:r w:rsidRPr="005F7F82">
        <w:rPr>
          <w:sz w:val="22"/>
          <w:szCs w:val="22"/>
        </w:rPr>
        <w:t xml:space="preserve">). </w:t>
      </w:r>
      <w:r w:rsidRPr="005F7F82">
        <w:rPr>
          <w:sz w:val="22"/>
          <w:szCs w:val="22"/>
          <w:lang w:eastAsia="ja-JP"/>
        </w:rPr>
        <w:t>ANOVA</w:t>
      </w:r>
      <w:r w:rsidRPr="005F7F82">
        <w:rPr>
          <w:sz w:val="22"/>
          <w:szCs w:val="22"/>
        </w:rPr>
        <w:t xml:space="preserve"> indicated that EO (%) </w:t>
      </w:r>
      <w:r w:rsidRPr="005F7F82">
        <w:rPr>
          <w:sz w:val="22"/>
          <w:szCs w:val="22"/>
          <w:lang w:eastAsia="ja-JP"/>
        </w:rPr>
        <w:t>was</w:t>
      </w:r>
      <w:r w:rsidRPr="005F7F82">
        <w:rPr>
          <w:sz w:val="22"/>
          <w:szCs w:val="22"/>
        </w:rPr>
        <w:t xml:space="preserve"> insignificant for salinity treatments. Fig. 8-10 shows the major components (p-cymene, α-thujene and γ-terpinene) of EO extracted from black cumin</w:t>
      </w:r>
      <w:r w:rsidRPr="005F7F82">
        <w:rPr>
          <w:i/>
          <w:iCs/>
          <w:sz w:val="22"/>
          <w:szCs w:val="22"/>
        </w:rPr>
        <w:t xml:space="preserve"> </w:t>
      </w:r>
      <w:r w:rsidRPr="005F7F82">
        <w:rPr>
          <w:sz w:val="22"/>
          <w:szCs w:val="22"/>
        </w:rPr>
        <w:t>seeds as detected by GC-MS. The highest amounts of major components (60.3, 7.2 and 1.5 %) were obtained from the 6.3 dSm</w:t>
      </w:r>
      <w:r w:rsidRPr="005F7F82">
        <w:rPr>
          <w:sz w:val="22"/>
          <w:szCs w:val="22"/>
          <w:vertAlign w:val="superscript"/>
        </w:rPr>
        <w:t>-1</w:t>
      </w:r>
      <w:r w:rsidRPr="005F7F82">
        <w:rPr>
          <w:sz w:val="22"/>
          <w:szCs w:val="22"/>
        </w:rPr>
        <w:t xml:space="preserve"> treatment (Fig. 8-10). </w:t>
      </w:r>
      <w:r w:rsidRPr="005F7F82">
        <w:rPr>
          <w:sz w:val="22"/>
          <w:szCs w:val="22"/>
          <w:lang w:eastAsia="ja-JP"/>
        </w:rPr>
        <w:t>ANOVA</w:t>
      </w:r>
      <w:r w:rsidRPr="005F7F82">
        <w:rPr>
          <w:sz w:val="22"/>
          <w:szCs w:val="22"/>
        </w:rPr>
        <w:t xml:space="preserve"> indicated that the main constituents of </w:t>
      </w:r>
      <w:r w:rsidRPr="005F7F82">
        <w:rPr>
          <w:i/>
          <w:iCs/>
          <w:sz w:val="22"/>
          <w:szCs w:val="22"/>
        </w:rPr>
        <w:t xml:space="preserve">N sativa </w:t>
      </w:r>
      <w:r w:rsidRPr="005F7F82">
        <w:rPr>
          <w:sz w:val="22"/>
          <w:szCs w:val="22"/>
        </w:rPr>
        <w:t>were</w:t>
      </w:r>
      <w:r w:rsidRPr="005F7F82">
        <w:rPr>
          <w:i/>
          <w:iCs/>
          <w:sz w:val="22"/>
          <w:szCs w:val="22"/>
        </w:rPr>
        <w:t xml:space="preserve"> </w:t>
      </w:r>
      <w:r w:rsidRPr="005F7F82">
        <w:rPr>
          <w:sz w:val="22"/>
          <w:szCs w:val="22"/>
        </w:rPr>
        <w:t>significant except the</w:t>
      </w:r>
      <w:r w:rsidRPr="005F7F82">
        <w:rPr>
          <w:i/>
          <w:iCs/>
          <w:sz w:val="22"/>
          <w:szCs w:val="22"/>
        </w:rPr>
        <w:t xml:space="preserve"> </w:t>
      </w:r>
      <w:r w:rsidRPr="005F7F82">
        <w:rPr>
          <w:sz w:val="22"/>
          <w:szCs w:val="22"/>
        </w:rPr>
        <w:t xml:space="preserve">γ-terpinene was insignificant for salinity treatments. </w:t>
      </w:r>
    </w:p>
    <w:p w:rsidR="007E6047" w:rsidRDefault="007E6047" w:rsidP="005F7F82">
      <w:pPr>
        <w:autoSpaceDE w:val="0"/>
        <w:autoSpaceDN w:val="0"/>
        <w:adjustRightInd w:val="0"/>
        <w:jc w:val="both"/>
        <w:rPr>
          <w:sz w:val="22"/>
          <w:szCs w:val="22"/>
        </w:rPr>
      </w:pPr>
    </w:p>
    <w:p w:rsidR="007E6047" w:rsidRDefault="007E6047" w:rsidP="005F7F82">
      <w:pPr>
        <w:autoSpaceDE w:val="0"/>
        <w:autoSpaceDN w:val="0"/>
        <w:adjustRightInd w:val="0"/>
        <w:jc w:val="both"/>
        <w:rPr>
          <w:sz w:val="22"/>
          <w:szCs w:val="22"/>
        </w:rPr>
      </w:pPr>
    </w:p>
    <w:tbl>
      <w:tblPr>
        <w:tblW w:w="0" w:type="auto"/>
        <w:jc w:val="center"/>
        <w:tblLayout w:type="fixed"/>
        <w:tblLook w:val="0000"/>
      </w:tblPr>
      <w:tblGrid>
        <w:gridCol w:w="4429"/>
        <w:gridCol w:w="4427"/>
      </w:tblGrid>
      <w:tr w:rsidR="00B6707C" w:rsidRPr="007F4230">
        <w:trPr>
          <w:jc w:val="center"/>
        </w:trPr>
        <w:tc>
          <w:tcPr>
            <w:tcW w:w="4429" w:type="dxa"/>
            <w:vAlign w:val="center"/>
          </w:tcPr>
          <w:p w:rsidR="00B6707C" w:rsidRPr="007F4230" w:rsidRDefault="00AB2250" w:rsidP="005F7F82">
            <w:pPr>
              <w:jc w:val="center"/>
              <w:rPr>
                <w:sz w:val="20"/>
                <w:szCs w:val="20"/>
              </w:rPr>
            </w:pPr>
            <w:r>
              <w:rPr>
                <w:noProof/>
                <w:sz w:val="20"/>
                <w:szCs w:val="20"/>
                <w:lang w:val="fr-FR" w:eastAsia="fr-FR"/>
              </w:rPr>
              <w:drawing>
                <wp:inline distT="0" distB="0" distL="0" distR="0">
                  <wp:extent cx="2743200" cy="201866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743200" cy="2018665"/>
                          </a:xfrm>
                          <a:prstGeom prst="rect">
                            <a:avLst/>
                          </a:prstGeom>
                          <a:noFill/>
                          <a:ln w="9525">
                            <a:noFill/>
                            <a:miter lim="800000"/>
                            <a:headEnd/>
                            <a:tailEnd/>
                          </a:ln>
                        </pic:spPr>
                      </pic:pic>
                    </a:graphicData>
                  </a:graphic>
                </wp:inline>
              </w:drawing>
            </w:r>
          </w:p>
        </w:tc>
        <w:tc>
          <w:tcPr>
            <w:tcW w:w="4427" w:type="dxa"/>
            <w:vAlign w:val="center"/>
          </w:tcPr>
          <w:p w:rsidR="00B6707C" w:rsidRPr="007F4230" w:rsidRDefault="00AB2250" w:rsidP="005F7F82">
            <w:pPr>
              <w:jc w:val="center"/>
              <w:rPr>
                <w:sz w:val="20"/>
                <w:szCs w:val="20"/>
              </w:rPr>
            </w:pPr>
            <w:r>
              <w:rPr>
                <w:noProof/>
                <w:sz w:val="20"/>
                <w:szCs w:val="20"/>
                <w:lang w:val="fr-FR" w:eastAsia="fr-FR"/>
              </w:rPr>
              <w:drawing>
                <wp:inline distT="0" distB="0" distL="0" distR="0">
                  <wp:extent cx="2743200" cy="201866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743200" cy="2018665"/>
                          </a:xfrm>
                          <a:prstGeom prst="rect">
                            <a:avLst/>
                          </a:prstGeom>
                          <a:noFill/>
                          <a:ln w="9525">
                            <a:noFill/>
                            <a:miter lim="800000"/>
                            <a:headEnd/>
                            <a:tailEnd/>
                          </a:ln>
                        </pic:spPr>
                      </pic:pic>
                    </a:graphicData>
                  </a:graphic>
                </wp:inline>
              </w:drawing>
            </w:r>
          </w:p>
        </w:tc>
      </w:tr>
      <w:tr w:rsidR="00B6707C" w:rsidRPr="007F4230">
        <w:trPr>
          <w:jc w:val="center"/>
        </w:trPr>
        <w:tc>
          <w:tcPr>
            <w:tcW w:w="4429" w:type="dxa"/>
            <w:vAlign w:val="center"/>
          </w:tcPr>
          <w:p w:rsidR="00B6707C" w:rsidRPr="007F4230" w:rsidRDefault="00B6707C" w:rsidP="005F7F82">
            <w:pPr>
              <w:jc w:val="center"/>
              <w:rPr>
                <w:sz w:val="20"/>
                <w:szCs w:val="20"/>
              </w:rPr>
            </w:pPr>
            <w:r w:rsidRPr="005F7F82">
              <w:rPr>
                <w:b/>
                <w:bCs/>
                <w:sz w:val="20"/>
                <w:szCs w:val="20"/>
              </w:rPr>
              <w:t>Fig. 7.</w:t>
            </w:r>
            <w:r w:rsidRPr="007F4230">
              <w:rPr>
                <w:sz w:val="20"/>
                <w:szCs w:val="20"/>
              </w:rPr>
              <w:t xml:space="preserve"> Effect of salinity on EO (%).</w:t>
            </w:r>
          </w:p>
        </w:tc>
        <w:tc>
          <w:tcPr>
            <w:tcW w:w="4427" w:type="dxa"/>
            <w:vAlign w:val="center"/>
          </w:tcPr>
          <w:p w:rsidR="00B6707C" w:rsidRPr="007F4230" w:rsidRDefault="00B6707C" w:rsidP="005F7F82">
            <w:pPr>
              <w:jc w:val="center"/>
              <w:rPr>
                <w:sz w:val="20"/>
                <w:szCs w:val="20"/>
              </w:rPr>
            </w:pPr>
            <w:r w:rsidRPr="005F7F82">
              <w:rPr>
                <w:b/>
                <w:bCs/>
                <w:sz w:val="20"/>
                <w:szCs w:val="20"/>
              </w:rPr>
              <w:t>Fig. 8.</w:t>
            </w:r>
            <w:r w:rsidRPr="007F4230">
              <w:rPr>
                <w:sz w:val="20"/>
                <w:szCs w:val="20"/>
              </w:rPr>
              <w:t xml:space="preserve"> Effect of salinity on .ρ-cymene</w:t>
            </w:r>
          </w:p>
        </w:tc>
      </w:tr>
      <w:tr w:rsidR="00B6707C" w:rsidRPr="007F4230">
        <w:trPr>
          <w:jc w:val="center"/>
        </w:trPr>
        <w:tc>
          <w:tcPr>
            <w:tcW w:w="4429" w:type="dxa"/>
            <w:vAlign w:val="center"/>
          </w:tcPr>
          <w:p w:rsidR="00B6707C" w:rsidRPr="007F4230" w:rsidRDefault="00AB2250" w:rsidP="005F7F82">
            <w:pPr>
              <w:jc w:val="center"/>
              <w:rPr>
                <w:sz w:val="20"/>
                <w:szCs w:val="20"/>
              </w:rPr>
            </w:pPr>
            <w:r>
              <w:rPr>
                <w:noProof/>
                <w:sz w:val="20"/>
                <w:szCs w:val="20"/>
                <w:lang w:val="fr-FR" w:eastAsia="fr-FR"/>
              </w:rPr>
              <w:drawing>
                <wp:inline distT="0" distB="0" distL="0" distR="0">
                  <wp:extent cx="2741963" cy="2018805"/>
                  <wp:effectExtent l="19050" t="0" r="1237"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743200" cy="2019716"/>
                          </a:xfrm>
                          <a:prstGeom prst="rect">
                            <a:avLst/>
                          </a:prstGeom>
                          <a:noFill/>
                          <a:ln w="9525">
                            <a:noFill/>
                            <a:miter lim="800000"/>
                            <a:headEnd/>
                            <a:tailEnd/>
                          </a:ln>
                        </pic:spPr>
                      </pic:pic>
                    </a:graphicData>
                  </a:graphic>
                </wp:inline>
              </w:drawing>
            </w:r>
          </w:p>
        </w:tc>
        <w:tc>
          <w:tcPr>
            <w:tcW w:w="4427" w:type="dxa"/>
            <w:vAlign w:val="center"/>
          </w:tcPr>
          <w:p w:rsidR="00B6707C" w:rsidRPr="007F4230" w:rsidRDefault="00AB2250" w:rsidP="005F7F82">
            <w:pPr>
              <w:jc w:val="center"/>
              <w:rPr>
                <w:sz w:val="20"/>
                <w:szCs w:val="20"/>
              </w:rPr>
            </w:pPr>
            <w:r>
              <w:rPr>
                <w:noProof/>
                <w:sz w:val="20"/>
                <w:szCs w:val="20"/>
                <w:lang w:val="fr-FR" w:eastAsia="fr-FR"/>
              </w:rPr>
              <w:drawing>
                <wp:inline distT="0" distB="0" distL="0" distR="0">
                  <wp:extent cx="2741963" cy="1959429"/>
                  <wp:effectExtent l="19050" t="0" r="123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743200" cy="1960313"/>
                          </a:xfrm>
                          <a:prstGeom prst="rect">
                            <a:avLst/>
                          </a:prstGeom>
                          <a:noFill/>
                          <a:ln w="9525">
                            <a:noFill/>
                            <a:miter lim="800000"/>
                            <a:headEnd/>
                            <a:tailEnd/>
                          </a:ln>
                        </pic:spPr>
                      </pic:pic>
                    </a:graphicData>
                  </a:graphic>
                </wp:inline>
              </w:drawing>
            </w:r>
          </w:p>
        </w:tc>
      </w:tr>
      <w:tr w:rsidR="00B6707C" w:rsidRPr="007F4230">
        <w:trPr>
          <w:jc w:val="center"/>
        </w:trPr>
        <w:tc>
          <w:tcPr>
            <w:tcW w:w="4429" w:type="dxa"/>
            <w:vAlign w:val="center"/>
          </w:tcPr>
          <w:p w:rsidR="00B6707C" w:rsidRPr="007F4230" w:rsidRDefault="00B6707C" w:rsidP="005F7F82">
            <w:pPr>
              <w:jc w:val="center"/>
              <w:rPr>
                <w:sz w:val="20"/>
                <w:szCs w:val="20"/>
              </w:rPr>
            </w:pPr>
            <w:r w:rsidRPr="005F7F82">
              <w:rPr>
                <w:b/>
                <w:bCs/>
                <w:sz w:val="20"/>
                <w:szCs w:val="20"/>
              </w:rPr>
              <w:t>Fig. 9.</w:t>
            </w:r>
            <w:r w:rsidRPr="007F4230">
              <w:rPr>
                <w:sz w:val="20"/>
                <w:szCs w:val="20"/>
              </w:rPr>
              <w:t xml:space="preserve"> Effect of salinity on α-thujene</w:t>
            </w:r>
          </w:p>
        </w:tc>
        <w:tc>
          <w:tcPr>
            <w:tcW w:w="4427" w:type="dxa"/>
            <w:vAlign w:val="center"/>
          </w:tcPr>
          <w:p w:rsidR="00B6707C" w:rsidRPr="007F4230" w:rsidRDefault="00B6707C" w:rsidP="005F7F82">
            <w:pPr>
              <w:jc w:val="center"/>
              <w:rPr>
                <w:sz w:val="20"/>
                <w:szCs w:val="20"/>
              </w:rPr>
            </w:pPr>
            <w:r w:rsidRPr="005F7F82">
              <w:rPr>
                <w:b/>
                <w:bCs/>
                <w:sz w:val="20"/>
                <w:szCs w:val="20"/>
              </w:rPr>
              <w:t>Fig.10.</w:t>
            </w:r>
            <w:r w:rsidRPr="007F4230">
              <w:rPr>
                <w:sz w:val="20"/>
                <w:szCs w:val="20"/>
              </w:rPr>
              <w:t xml:space="preserve"> Effect of salinity on γ-terpinene</w:t>
            </w:r>
          </w:p>
        </w:tc>
      </w:tr>
    </w:tbl>
    <w:p w:rsidR="005F7F82" w:rsidRDefault="005F7F82" w:rsidP="005F7F82">
      <w:pPr>
        <w:autoSpaceDE w:val="0"/>
        <w:autoSpaceDN w:val="0"/>
        <w:adjustRightInd w:val="0"/>
        <w:jc w:val="both"/>
        <w:rPr>
          <w:i/>
          <w:iCs/>
          <w:sz w:val="22"/>
          <w:szCs w:val="22"/>
        </w:rPr>
      </w:pPr>
    </w:p>
    <w:p w:rsidR="005F7F82" w:rsidRDefault="005F7F82" w:rsidP="005F7F82">
      <w:pPr>
        <w:autoSpaceDE w:val="0"/>
        <w:autoSpaceDN w:val="0"/>
        <w:adjustRightInd w:val="0"/>
        <w:jc w:val="both"/>
        <w:rPr>
          <w:i/>
          <w:iCs/>
          <w:sz w:val="22"/>
          <w:szCs w:val="22"/>
          <w:lang w:eastAsia="ja-JP"/>
        </w:rPr>
      </w:pPr>
      <w:r>
        <w:rPr>
          <w:i/>
          <w:iCs/>
          <w:sz w:val="22"/>
          <w:szCs w:val="22"/>
        </w:rPr>
        <w:lastRenderedPageBreak/>
        <w:t>3.3 Effect of salinity on PRO content</w:t>
      </w:r>
      <w:r>
        <w:rPr>
          <w:i/>
          <w:iCs/>
          <w:sz w:val="22"/>
          <w:szCs w:val="22"/>
          <w:lang w:eastAsia="ja-JP"/>
        </w:rPr>
        <w:t xml:space="preserve"> </w:t>
      </w:r>
    </w:p>
    <w:p w:rsidR="005F7F82" w:rsidRDefault="005F7F82" w:rsidP="005F7F82">
      <w:pPr>
        <w:autoSpaceDE w:val="0"/>
        <w:autoSpaceDN w:val="0"/>
        <w:adjustRightInd w:val="0"/>
        <w:jc w:val="both"/>
        <w:rPr>
          <w:b/>
          <w:bCs/>
          <w:sz w:val="22"/>
          <w:szCs w:val="22"/>
          <w:lang w:eastAsia="ja-JP"/>
        </w:rPr>
      </w:pPr>
      <w:r>
        <w:rPr>
          <w:sz w:val="22"/>
          <w:szCs w:val="22"/>
        </w:rPr>
        <w:t xml:space="preserve">PRO, which increases proportionately faster than other amino acids in plants under stress, has been suggested as an evaluating parameter for irrigation scheduling and for selecting drought stress – resistance </w:t>
      </w:r>
      <w:r w:rsidRPr="004A2F83">
        <w:rPr>
          <w:sz w:val="22"/>
          <w:szCs w:val="22"/>
        </w:rPr>
        <w:t>varieties [19]. The accumulation of PRO in black cumin</w:t>
      </w:r>
      <w:r w:rsidRPr="004A2F83">
        <w:rPr>
          <w:iCs/>
          <w:sz w:val="22"/>
          <w:szCs w:val="22"/>
          <w:lang w:eastAsia="ja-JP"/>
        </w:rPr>
        <w:t xml:space="preserve"> </w:t>
      </w:r>
      <w:r w:rsidRPr="004A2F83">
        <w:rPr>
          <w:sz w:val="22"/>
          <w:szCs w:val="22"/>
        </w:rPr>
        <w:t>leaves was promoted by appl</w:t>
      </w:r>
      <w:r w:rsidRPr="004A2F83">
        <w:rPr>
          <w:sz w:val="22"/>
          <w:szCs w:val="22"/>
          <w:lang w:eastAsia="ja-JP"/>
        </w:rPr>
        <w:t>ying</w:t>
      </w:r>
      <w:r w:rsidRPr="004A2F83">
        <w:rPr>
          <w:sz w:val="22"/>
          <w:szCs w:val="22"/>
        </w:rPr>
        <w:t xml:space="preserve"> various levels of salinity (Fig. 11).</w:t>
      </w:r>
      <w:r>
        <w:rPr>
          <w:sz w:val="22"/>
          <w:szCs w:val="22"/>
        </w:rPr>
        <w:t xml:space="preserve"> The highest PRO content (23.1 µm g</w:t>
      </w:r>
      <w:r>
        <w:rPr>
          <w:sz w:val="22"/>
          <w:szCs w:val="22"/>
          <w:vertAlign w:val="superscript"/>
        </w:rPr>
        <w:t>-1</w:t>
      </w:r>
      <w:r>
        <w:rPr>
          <w:sz w:val="22"/>
          <w:szCs w:val="22"/>
        </w:rPr>
        <w:t>) resulted f</w:t>
      </w:r>
      <w:r>
        <w:rPr>
          <w:sz w:val="22"/>
          <w:szCs w:val="22"/>
          <w:lang w:eastAsia="ja-JP"/>
        </w:rPr>
        <w:t>ro</w:t>
      </w:r>
      <w:r>
        <w:rPr>
          <w:sz w:val="22"/>
          <w:szCs w:val="22"/>
        </w:rPr>
        <w:t>m 6.3 dSm</w:t>
      </w:r>
      <w:r>
        <w:rPr>
          <w:sz w:val="22"/>
          <w:szCs w:val="22"/>
          <w:vertAlign w:val="superscript"/>
        </w:rPr>
        <w:t xml:space="preserve">-1 </w:t>
      </w:r>
      <w:r>
        <w:rPr>
          <w:sz w:val="22"/>
          <w:szCs w:val="22"/>
          <w:lang w:eastAsia="ja-JP"/>
        </w:rPr>
        <w:t xml:space="preserve">treatment compared with control (7.8 </w:t>
      </w:r>
      <w:r>
        <w:rPr>
          <w:sz w:val="22"/>
          <w:szCs w:val="22"/>
        </w:rPr>
        <w:t>µm g</w:t>
      </w:r>
      <w:r>
        <w:rPr>
          <w:sz w:val="22"/>
          <w:szCs w:val="22"/>
          <w:vertAlign w:val="superscript"/>
        </w:rPr>
        <w:t>-1</w:t>
      </w:r>
      <w:r>
        <w:rPr>
          <w:sz w:val="22"/>
          <w:szCs w:val="22"/>
          <w:lang w:eastAsia="ja-JP"/>
        </w:rPr>
        <w:t>)</w:t>
      </w:r>
      <w:r>
        <w:rPr>
          <w:sz w:val="22"/>
          <w:szCs w:val="22"/>
        </w:rPr>
        <w:t>.</w:t>
      </w:r>
      <w:r>
        <w:rPr>
          <w:b/>
          <w:bCs/>
          <w:iCs/>
          <w:sz w:val="22"/>
          <w:szCs w:val="22"/>
          <w:lang w:eastAsia="ja-JP"/>
        </w:rPr>
        <w:t xml:space="preserve"> </w:t>
      </w:r>
      <w:r>
        <w:rPr>
          <w:sz w:val="22"/>
          <w:szCs w:val="22"/>
          <w:lang w:eastAsia="ja-JP"/>
        </w:rPr>
        <w:t>ANOVA indicated that the increase in PRO contents</w:t>
      </w:r>
      <w:r>
        <w:rPr>
          <w:sz w:val="22"/>
          <w:szCs w:val="22"/>
        </w:rPr>
        <w:t xml:space="preserve"> were highly significant for salinity treatments.</w:t>
      </w:r>
    </w:p>
    <w:p w:rsidR="000673CB" w:rsidRDefault="000673CB" w:rsidP="005F7F82">
      <w:pPr>
        <w:autoSpaceDE w:val="0"/>
        <w:autoSpaceDN w:val="0"/>
        <w:adjustRightInd w:val="0"/>
        <w:jc w:val="both"/>
        <w:rPr>
          <w:i/>
          <w:iCs/>
          <w:sz w:val="22"/>
          <w:szCs w:val="22"/>
        </w:rPr>
      </w:pPr>
    </w:p>
    <w:p w:rsidR="005F7F82" w:rsidRDefault="005F7F82" w:rsidP="005F7F82">
      <w:pPr>
        <w:autoSpaceDE w:val="0"/>
        <w:autoSpaceDN w:val="0"/>
        <w:adjustRightInd w:val="0"/>
        <w:jc w:val="both"/>
        <w:rPr>
          <w:i/>
          <w:iCs/>
          <w:sz w:val="22"/>
          <w:szCs w:val="22"/>
        </w:rPr>
      </w:pPr>
      <w:r>
        <w:rPr>
          <w:i/>
          <w:iCs/>
          <w:sz w:val="22"/>
          <w:szCs w:val="22"/>
        </w:rPr>
        <w:t xml:space="preserve">3.4. Effect of salinity on TSS content </w:t>
      </w:r>
    </w:p>
    <w:p w:rsidR="005F7F82" w:rsidRDefault="005F7F82" w:rsidP="005F7F82">
      <w:pPr>
        <w:autoSpaceDE w:val="0"/>
        <w:autoSpaceDN w:val="0"/>
        <w:adjustRightInd w:val="0"/>
        <w:jc w:val="both"/>
        <w:rPr>
          <w:sz w:val="22"/>
          <w:szCs w:val="22"/>
        </w:rPr>
      </w:pPr>
      <w:r>
        <w:rPr>
          <w:sz w:val="22"/>
          <w:szCs w:val="22"/>
        </w:rPr>
        <w:t xml:space="preserve">Salinity levels caused a significant increase in TSS content </w:t>
      </w:r>
      <w:r>
        <w:rPr>
          <w:sz w:val="22"/>
          <w:szCs w:val="22"/>
          <w:lang w:eastAsia="ja-JP"/>
        </w:rPr>
        <w:t>compared with</w:t>
      </w:r>
      <w:r>
        <w:rPr>
          <w:sz w:val="22"/>
          <w:szCs w:val="22"/>
        </w:rPr>
        <w:t xml:space="preserve"> control</w:t>
      </w:r>
      <w:r w:rsidRPr="004B1DF4">
        <w:rPr>
          <w:sz w:val="22"/>
          <w:szCs w:val="22"/>
        </w:rPr>
        <w:t xml:space="preserve"> </w:t>
      </w:r>
      <w:r w:rsidRPr="004B1DF4">
        <w:rPr>
          <w:sz w:val="22"/>
          <w:szCs w:val="22"/>
          <w:lang w:eastAsia="ja-JP"/>
        </w:rPr>
        <w:t>(</w:t>
      </w:r>
      <w:r w:rsidRPr="004B1DF4">
        <w:rPr>
          <w:sz w:val="22"/>
          <w:szCs w:val="22"/>
        </w:rPr>
        <w:t>Fig. 12).</w:t>
      </w:r>
      <w:r>
        <w:rPr>
          <w:sz w:val="22"/>
          <w:szCs w:val="22"/>
        </w:rPr>
        <w:t xml:space="preserve"> However</w:t>
      </w:r>
      <w:r>
        <w:rPr>
          <w:sz w:val="22"/>
          <w:szCs w:val="22"/>
          <w:lang w:eastAsia="ja-JP"/>
        </w:rPr>
        <w:t>,</w:t>
      </w:r>
      <w:r>
        <w:rPr>
          <w:sz w:val="22"/>
          <w:szCs w:val="22"/>
        </w:rPr>
        <w:t xml:space="preserve"> the highest TSS</w:t>
      </w:r>
      <w:r>
        <w:rPr>
          <w:sz w:val="22"/>
          <w:szCs w:val="22"/>
          <w:lang w:eastAsia="ja-JP"/>
        </w:rPr>
        <w:t xml:space="preserve"> (11.8%) content</w:t>
      </w:r>
      <w:r>
        <w:rPr>
          <w:sz w:val="22"/>
          <w:szCs w:val="22"/>
        </w:rPr>
        <w:t xml:space="preserve"> obtained from 6.3 dSm</w:t>
      </w:r>
      <w:r>
        <w:rPr>
          <w:sz w:val="22"/>
          <w:szCs w:val="22"/>
          <w:vertAlign w:val="superscript"/>
        </w:rPr>
        <w:t xml:space="preserve">-1 </w:t>
      </w:r>
      <w:r w:rsidRPr="004B1DF4">
        <w:rPr>
          <w:sz w:val="22"/>
          <w:szCs w:val="22"/>
          <w:lang w:eastAsia="ja-JP"/>
        </w:rPr>
        <w:t xml:space="preserve">treatments however the lowest value </w:t>
      </w:r>
      <w:r w:rsidRPr="004B1DF4">
        <w:rPr>
          <w:sz w:val="22"/>
          <w:szCs w:val="22"/>
        </w:rPr>
        <w:t xml:space="preserve">(5.4%) </w:t>
      </w:r>
      <w:r w:rsidRPr="004B1DF4">
        <w:rPr>
          <w:sz w:val="22"/>
          <w:szCs w:val="22"/>
          <w:lang w:eastAsia="ja-JP"/>
        </w:rPr>
        <w:t xml:space="preserve">resulted from </w:t>
      </w:r>
      <w:r w:rsidRPr="004B1DF4">
        <w:rPr>
          <w:sz w:val="22"/>
          <w:szCs w:val="22"/>
        </w:rPr>
        <w:t>untreated plants.</w:t>
      </w:r>
      <w:r w:rsidRPr="004B1DF4">
        <w:rPr>
          <w:sz w:val="22"/>
          <w:szCs w:val="22"/>
          <w:lang w:eastAsia="ja-JP"/>
        </w:rPr>
        <w:t xml:space="preserve"> The increase in </w:t>
      </w:r>
      <w:r w:rsidRPr="004B1DF4">
        <w:rPr>
          <w:sz w:val="22"/>
          <w:szCs w:val="22"/>
        </w:rPr>
        <w:t>TSS was highly significant for salinity treatments</w:t>
      </w:r>
      <w:r>
        <w:rPr>
          <w:sz w:val="22"/>
          <w:szCs w:val="22"/>
        </w:rPr>
        <w:t>.</w:t>
      </w:r>
    </w:p>
    <w:p w:rsidR="005F7F82" w:rsidRPr="004B1DF4" w:rsidRDefault="005F7F82" w:rsidP="005F7F82">
      <w:pPr>
        <w:autoSpaceDE w:val="0"/>
        <w:autoSpaceDN w:val="0"/>
        <w:adjustRightInd w:val="0"/>
        <w:jc w:val="both"/>
        <w:rPr>
          <w:i/>
          <w:iCs/>
          <w:sz w:val="22"/>
          <w:szCs w:val="22"/>
        </w:rPr>
      </w:pPr>
    </w:p>
    <w:p w:rsidR="005F7F82" w:rsidRPr="004B1DF4" w:rsidRDefault="005F7F82" w:rsidP="005F7F82">
      <w:pPr>
        <w:autoSpaceDE w:val="0"/>
        <w:autoSpaceDN w:val="0"/>
        <w:adjustRightInd w:val="0"/>
        <w:jc w:val="both"/>
        <w:rPr>
          <w:i/>
          <w:iCs/>
          <w:sz w:val="22"/>
          <w:szCs w:val="22"/>
        </w:rPr>
      </w:pPr>
      <w:r w:rsidRPr="004B1DF4">
        <w:rPr>
          <w:i/>
          <w:iCs/>
          <w:sz w:val="22"/>
          <w:szCs w:val="22"/>
        </w:rPr>
        <w:t xml:space="preserve">3.5. Effect of salinity on N uptake and CP content </w:t>
      </w:r>
    </w:p>
    <w:p w:rsidR="005F7F82" w:rsidRDefault="005F7F82" w:rsidP="005F7F82">
      <w:pPr>
        <w:autoSpaceDE w:val="0"/>
        <w:autoSpaceDN w:val="0"/>
        <w:adjustRightInd w:val="0"/>
        <w:jc w:val="both"/>
        <w:rPr>
          <w:sz w:val="22"/>
          <w:szCs w:val="22"/>
        </w:rPr>
      </w:pPr>
      <w:r w:rsidRPr="004B1DF4">
        <w:rPr>
          <w:sz w:val="22"/>
          <w:szCs w:val="22"/>
        </w:rPr>
        <w:t>The accumulations of N (or CP) in black cumin</w:t>
      </w:r>
      <w:r w:rsidRPr="004B1DF4">
        <w:rPr>
          <w:iCs/>
          <w:sz w:val="22"/>
          <w:szCs w:val="22"/>
          <w:lang w:eastAsia="ja-JP"/>
        </w:rPr>
        <w:t xml:space="preserve"> </w:t>
      </w:r>
      <w:r w:rsidRPr="004B1DF4">
        <w:rPr>
          <w:sz w:val="22"/>
          <w:szCs w:val="22"/>
        </w:rPr>
        <w:t>leaves were promoted without appl</w:t>
      </w:r>
      <w:r w:rsidRPr="004B1DF4">
        <w:rPr>
          <w:sz w:val="22"/>
          <w:szCs w:val="22"/>
          <w:lang w:eastAsia="ja-JP"/>
        </w:rPr>
        <w:t>ying</w:t>
      </w:r>
      <w:r w:rsidRPr="004B1DF4">
        <w:rPr>
          <w:sz w:val="22"/>
          <w:szCs w:val="22"/>
        </w:rPr>
        <w:t xml:space="preserve"> various levels of salinity (Fig. 13 and 14). The highest values of N uptake and CP (0.4 µm g</w:t>
      </w:r>
      <w:r w:rsidRPr="004B1DF4">
        <w:rPr>
          <w:sz w:val="22"/>
          <w:szCs w:val="22"/>
          <w:vertAlign w:val="superscript"/>
        </w:rPr>
        <w:t>-1</w:t>
      </w:r>
      <w:r w:rsidRPr="004B1DF4">
        <w:rPr>
          <w:sz w:val="22"/>
          <w:szCs w:val="22"/>
        </w:rPr>
        <w:t xml:space="preserve"> and 16.5%) were recorded with control (0.4 µm g</w:t>
      </w:r>
      <w:r w:rsidRPr="004B1DF4">
        <w:rPr>
          <w:sz w:val="22"/>
          <w:szCs w:val="22"/>
          <w:vertAlign w:val="superscript"/>
        </w:rPr>
        <w:t>-1</w:t>
      </w:r>
      <w:r w:rsidRPr="004B1DF4">
        <w:rPr>
          <w:sz w:val="22"/>
          <w:szCs w:val="22"/>
        </w:rPr>
        <w:t xml:space="preserve">). </w:t>
      </w:r>
      <w:r w:rsidRPr="004B1DF4">
        <w:rPr>
          <w:sz w:val="22"/>
          <w:szCs w:val="22"/>
          <w:lang w:eastAsia="ja-JP"/>
        </w:rPr>
        <w:t xml:space="preserve">ANOVA indicated that the decreases in N </w:t>
      </w:r>
      <w:r w:rsidRPr="004B1DF4">
        <w:rPr>
          <w:sz w:val="22"/>
          <w:szCs w:val="22"/>
        </w:rPr>
        <w:t>uptake and CP were sign</w:t>
      </w:r>
      <w:r w:rsidR="000673CB">
        <w:rPr>
          <w:sz w:val="22"/>
          <w:szCs w:val="22"/>
        </w:rPr>
        <w:t>ificant for salinity treatments.</w:t>
      </w:r>
    </w:p>
    <w:p w:rsidR="000673CB" w:rsidRPr="004B1DF4" w:rsidRDefault="000673CB" w:rsidP="005F7F82">
      <w:pPr>
        <w:autoSpaceDE w:val="0"/>
        <w:autoSpaceDN w:val="0"/>
        <w:adjustRightInd w:val="0"/>
        <w:jc w:val="both"/>
        <w:rPr>
          <w:sz w:val="22"/>
          <w:szCs w:val="22"/>
        </w:rPr>
      </w:pPr>
    </w:p>
    <w:tbl>
      <w:tblPr>
        <w:tblW w:w="0" w:type="auto"/>
        <w:jc w:val="center"/>
        <w:tblInd w:w="-572" w:type="dxa"/>
        <w:tblLayout w:type="fixed"/>
        <w:tblLook w:val="0000"/>
      </w:tblPr>
      <w:tblGrid>
        <w:gridCol w:w="4739"/>
        <w:gridCol w:w="4895"/>
      </w:tblGrid>
      <w:tr w:rsidR="00B6707C" w:rsidRPr="007F4230" w:rsidTr="004E1D51">
        <w:trPr>
          <w:jc w:val="center"/>
        </w:trPr>
        <w:tc>
          <w:tcPr>
            <w:tcW w:w="4739" w:type="dxa"/>
            <w:vAlign w:val="center"/>
          </w:tcPr>
          <w:p w:rsidR="00B6707C" w:rsidRPr="007F4230" w:rsidRDefault="00AB2250" w:rsidP="005F7F82">
            <w:pPr>
              <w:jc w:val="center"/>
              <w:rPr>
                <w:sz w:val="20"/>
                <w:szCs w:val="20"/>
              </w:rPr>
            </w:pPr>
            <w:r>
              <w:rPr>
                <w:noProof/>
                <w:sz w:val="20"/>
                <w:szCs w:val="20"/>
                <w:lang w:val="fr-FR" w:eastAsia="fr-FR"/>
              </w:rPr>
              <w:drawing>
                <wp:inline distT="0" distB="0" distL="0" distR="0">
                  <wp:extent cx="2931301" cy="2374515"/>
                  <wp:effectExtent l="19050" t="0" r="2399"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2934662" cy="2377238"/>
                          </a:xfrm>
                          <a:prstGeom prst="rect">
                            <a:avLst/>
                          </a:prstGeom>
                          <a:noFill/>
                          <a:ln w="9525">
                            <a:noFill/>
                            <a:miter lim="800000"/>
                            <a:headEnd/>
                            <a:tailEnd/>
                          </a:ln>
                        </pic:spPr>
                      </pic:pic>
                    </a:graphicData>
                  </a:graphic>
                </wp:inline>
              </w:drawing>
            </w:r>
          </w:p>
        </w:tc>
        <w:tc>
          <w:tcPr>
            <w:tcW w:w="4895" w:type="dxa"/>
            <w:vAlign w:val="center"/>
          </w:tcPr>
          <w:p w:rsidR="00B6707C" w:rsidRPr="007F4230" w:rsidRDefault="00AB2250" w:rsidP="004E1D51">
            <w:pPr>
              <w:ind w:left="-171"/>
              <w:jc w:val="center"/>
              <w:rPr>
                <w:sz w:val="20"/>
                <w:szCs w:val="20"/>
              </w:rPr>
            </w:pPr>
            <w:r>
              <w:rPr>
                <w:noProof/>
                <w:sz w:val="20"/>
                <w:szCs w:val="20"/>
                <w:lang w:val="fr-FR" w:eastAsia="fr-FR"/>
              </w:rPr>
              <w:drawing>
                <wp:inline distT="0" distB="0" distL="0" distR="0">
                  <wp:extent cx="3176153" cy="2410691"/>
                  <wp:effectExtent l="19050" t="0" r="5197"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3178720" cy="2412639"/>
                          </a:xfrm>
                          <a:prstGeom prst="rect">
                            <a:avLst/>
                          </a:prstGeom>
                          <a:noFill/>
                          <a:ln w="9525">
                            <a:noFill/>
                            <a:miter lim="800000"/>
                            <a:headEnd/>
                            <a:tailEnd/>
                          </a:ln>
                        </pic:spPr>
                      </pic:pic>
                    </a:graphicData>
                  </a:graphic>
                </wp:inline>
              </w:drawing>
            </w:r>
          </w:p>
        </w:tc>
      </w:tr>
      <w:tr w:rsidR="00B6707C" w:rsidRPr="007F4230" w:rsidTr="004E1D51">
        <w:trPr>
          <w:jc w:val="center"/>
        </w:trPr>
        <w:tc>
          <w:tcPr>
            <w:tcW w:w="4739" w:type="dxa"/>
            <w:vAlign w:val="center"/>
          </w:tcPr>
          <w:p w:rsidR="00B6707C" w:rsidRPr="007F4230" w:rsidRDefault="00B6707C" w:rsidP="005F7F82">
            <w:pPr>
              <w:jc w:val="center"/>
              <w:rPr>
                <w:sz w:val="20"/>
                <w:szCs w:val="20"/>
              </w:rPr>
            </w:pPr>
            <w:r w:rsidRPr="005F7F82">
              <w:rPr>
                <w:b/>
                <w:bCs/>
                <w:sz w:val="20"/>
                <w:szCs w:val="20"/>
              </w:rPr>
              <w:t>Fig.11.</w:t>
            </w:r>
            <w:r w:rsidRPr="007F4230">
              <w:rPr>
                <w:sz w:val="20"/>
                <w:szCs w:val="20"/>
              </w:rPr>
              <w:t xml:space="preserve"> Effect of salinity on PRO</w:t>
            </w:r>
          </w:p>
        </w:tc>
        <w:tc>
          <w:tcPr>
            <w:tcW w:w="4895" w:type="dxa"/>
            <w:vAlign w:val="center"/>
          </w:tcPr>
          <w:p w:rsidR="00B6707C" w:rsidRPr="007F4230" w:rsidRDefault="00B6707C" w:rsidP="005F7F82">
            <w:pPr>
              <w:jc w:val="center"/>
              <w:rPr>
                <w:sz w:val="20"/>
                <w:szCs w:val="20"/>
              </w:rPr>
            </w:pPr>
            <w:r w:rsidRPr="005F7F82">
              <w:rPr>
                <w:b/>
                <w:bCs/>
                <w:sz w:val="20"/>
                <w:szCs w:val="20"/>
              </w:rPr>
              <w:t>Fig.12.</w:t>
            </w:r>
            <w:r w:rsidRPr="007F4230">
              <w:rPr>
                <w:sz w:val="20"/>
                <w:szCs w:val="20"/>
              </w:rPr>
              <w:t xml:space="preserve"> Effect of salinity on TSS</w:t>
            </w:r>
          </w:p>
        </w:tc>
      </w:tr>
      <w:tr w:rsidR="00B6707C" w:rsidRPr="007F4230" w:rsidTr="004E1D51">
        <w:trPr>
          <w:jc w:val="center"/>
        </w:trPr>
        <w:tc>
          <w:tcPr>
            <w:tcW w:w="4739" w:type="dxa"/>
            <w:vAlign w:val="center"/>
          </w:tcPr>
          <w:p w:rsidR="00B6707C" w:rsidRPr="007F4230" w:rsidRDefault="00AB2250" w:rsidP="005F7F82">
            <w:pPr>
              <w:jc w:val="center"/>
              <w:rPr>
                <w:sz w:val="20"/>
                <w:szCs w:val="20"/>
              </w:rPr>
            </w:pPr>
            <w:r>
              <w:rPr>
                <w:noProof/>
                <w:sz w:val="20"/>
                <w:szCs w:val="20"/>
                <w:lang w:val="fr-FR" w:eastAsia="fr-FR"/>
              </w:rPr>
              <w:drawing>
                <wp:inline distT="0" distB="0" distL="0" distR="0">
                  <wp:extent cx="2894234" cy="2339439"/>
                  <wp:effectExtent l="19050" t="0" r="136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2897565" cy="2342131"/>
                          </a:xfrm>
                          <a:prstGeom prst="rect">
                            <a:avLst/>
                          </a:prstGeom>
                          <a:noFill/>
                          <a:ln w="9525">
                            <a:noFill/>
                            <a:miter lim="800000"/>
                            <a:headEnd/>
                            <a:tailEnd/>
                          </a:ln>
                        </pic:spPr>
                      </pic:pic>
                    </a:graphicData>
                  </a:graphic>
                </wp:inline>
              </w:drawing>
            </w:r>
          </w:p>
        </w:tc>
        <w:tc>
          <w:tcPr>
            <w:tcW w:w="4895" w:type="dxa"/>
            <w:vAlign w:val="center"/>
          </w:tcPr>
          <w:p w:rsidR="00B6707C" w:rsidRPr="007F4230" w:rsidRDefault="00AB2250" w:rsidP="005F7F82">
            <w:pPr>
              <w:jc w:val="center"/>
              <w:rPr>
                <w:sz w:val="20"/>
                <w:szCs w:val="20"/>
              </w:rPr>
            </w:pPr>
            <w:r>
              <w:rPr>
                <w:noProof/>
                <w:sz w:val="20"/>
                <w:szCs w:val="20"/>
                <w:lang w:val="fr-FR" w:eastAsia="fr-FR"/>
              </w:rPr>
              <w:drawing>
                <wp:inline distT="0" distB="0" distL="0" distR="0">
                  <wp:extent cx="3063962" cy="2232561"/>
                  <wp:effectExtent l="19050" t="0" r="3088"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3068492" cy="2235862"/>
                          </a:xfrm>
                          <a:prstGeom prst="rect">
                            <a:avLst/>
                          </a:prstGeom>
                          <a:noFill/>
                          <a:ln w="9525">
                            <a:noFill/>
                            <a:miter lim="800000"/>
                            <a:headEnd/>
                            <a:tailEnd/>
                          </a:ln>
                        </pic:spPr>
                      </pic:pic>
                    </a:graphicData>
                  </a:graphic>
                </wp:inline>
              </w:drawing>
            </w:r>
          </w:p>
        </w:tc>
      </w:tr>
      <w:tr w:rsidR="00B6707C" w:rsidRPr="007F4230" w:rsidTr="004E1D51">
        <w:trPr>
          <w:jc w:val="center"/>
        </w:trPr>
        <w:tc>
          <w:tcPr>
            <w:tcW w:w="4739" w:type="dxa"/>
            <w:vAlign w:val="center"/>
          </w:tcPr>
          <w:p w:rsidR="00B6707C" w:rsidRPr="007F4230" w:rsidRDefault="00B6707C" w:rsidP="005F7F82">
            <w:pPr>
              <w:jc w:val="center"/>
              <w:rPr>
                <w:sz w:val="20"/>
                <w:szCs w:val="20"/>
              </w:rPr>
            </w:pPr>
            <w:r w:rsidRPr="005F7F82">
              <w:rPr>
                <w:b/>
                <w:bCs/>
                <w:sz w:val="20"/>
                <w:szCs w:val="20"/>
              </w:rPr>
              <w:t>Fig.13.</w:t>
            </w:r>
            <w:r w:rsidRPr="007F4230">
              <w:rPr>
                <w:sz w:val="20"/>
                <w:szCs w:val="20"/>
              </w:rPr>
              <w:t xml:space="preserve"> Effect of salinity on CP</w:t>
            </w:r>
          </w:p>
        </w:tc>
        <w:tc>
          <w:tcPr>
            <w:tcW w:w="4895" w:type="dxa"/>
            <w:vAlign w:val="center"/>
          </w:tcPr>
          <w:p w:rsidR="00B6707C" w:rsidRPr="007F4230" w:rsidRDefault="00B6707C" w:rsidP="005F7F82">
            <w:pPr>
              <w:jc w:val="center"/>
              <w:rPr>
                <w:sz w:val="20"/>
                <w:szCs w:val="20"/>
              </w:rPr>
            </w:pPr>
            <w:r w:rsidRPr="005F7F82">
              <w:rPr>
                <w:b/>
                <w:bCs/>
                <w:sz w:val="20"/>
                <w:szCs w:val="20"/>
              </w:rPr>
              <w:t>Fig.14.</w:t>
            </w:r>
            <w:r w:rsidRPr="007F4230">
              <w:rPr>
                <w:sz w:val="20"/>
                <w:szCs w:val="20"/>
              </w:rPr>
              <w:t xml:space="preserve"> Effect of salinity on N uptake</w:t>
            </w:r>
          </w:p>
        </w:tc>
      </w:tr>
    </w:tbl>
    <w:p w:rsidR="005F7F82" w:rsidRDefault="005F7F82" w:rsidP="005F7F82">
      <w:pPr>
        <w:autoSpaceDE w:val="0"/>
        <w:autoSpaceDN w:val="0"/>
        <w:adjustRightInd w:val="0"/>
        <w:jc w:val="both"/>
        <w:rPr>
          <w:b/>
          <w:bCs/>
        </w:rPr>
      </w:pPr>
    </w:p>
    <w:p w:rsidR="004E1D51" w:rsidRDefault="004E1D51" w:rsidP="005F7F82">
      <w:pPr>
        <w:autoSpaceDE w:val="0"/>
        <w:autoSpaceDN w:val="0"/>
        <w:adjustRightInd w:val="0"/>
        <w:jc w:val="both"/>
        <w:rPr>
          <w:b/>
          <w:bCs/>
        </w:rPr>
      </w:pPr>
    </w:p>
    <w:p w:rsidR="00B6707C" w:rsidRDefault="00B6707C" w:rsidP="005F7F82">
      <w:pPr>
        <w:autoSpaceDE w:val="0"/>
        <w:autoSpaceDN w:val="0"/>
        <w:adjustRightInd w:val="0"/>
        <w:jc w:val="both"/>
        <w:rPr>
          <w:b/>
          <w:bCs/>
        </w:rPr>
      </w:pPr>
      <w:r>
        <w:rPr>
          <w:b/>
          <w:bCs/>
        </w:rPr>
        <w:lastRenderedPageBreak/>
        <w:t xml:space="preserve">4. Discussion </w:t>
      </w:r>
    </w:p>
    <w:p w:rsidR="00B6707C" w:rsidRDefault="00B6707C" w:rsidP="005F7F82">
      <w:pPr>
        <w:autoSpaceDE w:val="0"/>
        <w:autoSpaceDN w:val="0"/>
        <w:adjustRightInd w:val="0"/>
        <w:jc w:val="both"/>
        <w:rPr>
          <w:sz w:val="22"/>
          <w:szCs w:val="22"/>
          <w:lang w:eastAsia="ja-JP"/>
        </w:rPr>
      </w:pPr>
      <w:r>
        <w:rPr>
          <w:sz w:val="22"/>
          <w:szCs w:val="22"/>
        </w:rPr>
        <w:t>Under salinity conditions, osmotic adjustment is usually achieved by the uptake of Na</w:t>
      </w:r>
      <w:r>
        <w:rPr>
          <w:sz w:val="22"/>
          <w:szCs w:val="22"/>
          <w:vertAlign w:val="superscript"/>
        </w:rPr>
        <w:t>+</w:t>
      </w:r>
      <w:r>
        <w:rPr>
          <w:sz w:val="22"/>
          <w:szCs w:val="22"/>
        </w:rPr>
        <w:t xml:space="preserve"> and Cl</w:t>
      </w:r>
      <w:r>
        <w:rPr>
          <w:sz w:val="22"/>
          <w:szCs w:val="22"/>
          <w:vertAlign w:val="superscript"/>
        </w:rPr>
        <w:t>--</w:t>
      </w:r>
      <w:r>
        <w:rPr>
          <w:sz w:val="22"/>
          <w:szCs w:val="22"/>
        </w:rPr>
        <w:t xml:space="preserve"> from the soil solution. Balibrea </w:t>
      </w:r>
      <w:r>
        <w:rPr>
          <w:i/>
          <w:iCs/>
          <w:sz w:val="22"/>
          <w:szCs w:val="22"/>
        </w:rPr>
        <w:t xml:space="preserve">et </w:t>
      </w:r>
      <w:r w:rsidRPr="004B1DF4">
        <w:rPr>
          <w:i/>
          <w:iCs/>
          <w:sz w:val="22"/>
          <w:szCs w:val="22"/>
        </w:rPr>
        <w:t>al</w:t>
      </w:r>
      <w:r w:rsidRPr="004B1DF4">
        <w:rPr>
          <w:sz w:val="22"/>
          <w:szCs w:val="22"/>
        </w:rPr>
        <w:t>. [24] suggested that a great deal of harmless and compatible solutes were synthesized and accumulated in plant leaves, thus maintaining the osmotic balance. Osmotic adjustment by inorganic ions accumulation is less energy and carbon-demanding than adjustment by organic solutes [25]. Inorganic solutes formed the largest component contributing to osmotic adjustment in grapevines. The production of sufficient organic osmotica is metabolically expensive and potentially limits plant growth by consuming significant quantities of carbon that could otherwise be used for growth [26]. An alternative to producing organic osmotica is for the plants to accumulate a sufficiently high content of ions from the soil. The energetic cost of osmotic adjustment using inorganic ions is much lower than that of using organic molecules synthesized in the cells [25, 27]. Thus</w:t>
      </w:r>
      <w:r>
        <w:rPr>
          <w:sz w:val="22"/>
          <w:szCs w:val="22"/>
        </w:rPr>
        <w:t xml:space="preserve"> by using this alternative mechanism of inorganic ion accumulation to adjust their osmotic potential, grapevines seem to save energy, which enables them to grow in less favorable conditions.</w:t>
      </w:r>
    </w:p>
    <w:p w:rsidR="00C222D9" w:rsidRDefault="00B6707C" w:rsidP="00C222D9">
      <w:pPr>
        <w:autoSpaceDE w:val="0"/>
        <w:autoSpaceDN w:val="0"/>
        <w:adjustRightInd w:val="0"/>
        <w:jc w:val="lowKashida"/>
        <w:rPr>
          <w:sz w:val="22"/>
          <w:szCs w:val="22"/>
        </w:rPr>
      </w:pPr>
      <w:r>
        <w:rPr>
          <w:sz w:val="22"/>
          <w:szCs w:val="22"/>
        </w:rPr>
        <w:t xml:space="preserve">The high accumulation in </w:t>
      </w:r>
      <w:r>
        <w:rPr>
          <w:i/>
          <w:iCs/>
          <w:sz w:val="22"/>
          <w:szCs w:val="22"/>
        </w:rPr>
        <w:t>N. sativa</w:t>
      </w:r>
      <w:r>
        <w:rPr>
          <w:sz w:val="22"/>
          <w:szCs w:val="22"/>
        </w:rPr>
        <w:t xml:space="preserve"> essential oil composition under salinity stress levels may be due to its effect of salinity on enzyme activity and metabolism of essential oils production </w:t>
      </w:r>
      <w:r w:rsidRPr="004B1DF4">
        <w:rPr>
          <w:sz w:val="22"/>
          <w:szCs w:val="22"/>
        </w:rPr>
        <w:t>[28].</w:t>
      </w:r>
      <w:r>
        <w:rPr>
          <w:sz w:val="22"/>
          <w:szCs w:val="22"/>
        </w:rPr>
        <w:t>The high accumulation in</w:t>
      </w:r>
      <w:r w:rsidRPr="005F7F82">
        <w:rPr>
          <w:sz w:val="22"/>
          <w:szCs w:val="22"/>
        </w:rPr>
        <w:t xml:space="preserve"> proline</w:t>
      </w:r>
      <w:r>
        <w:rPr>
          <w:sz w:val="22"/>
          <w:szCs w:val="22"/>
        </w:rPr>
        <w:t xml:space="preserve"> and soluble sugars with salinity stress levels may be due to proline is regarded as a source of energy, carbon, and nitrogen for recovering tissues</w:t>
      </w:r>
      <w:r>
        <w:rPr>
          <w:sz w:val="22"/>
          <w:szCs w:val="22"/>
          <w:lang w:eastAsia="ja-JP"/>
        </w:rPr>
        <w:t xml:space="preserve"> under </w:t>
      </w:r>
      <w:r>
        <w:rPr>
          <w:sz w:val="22"/>
          <w:szCs w:val="22"/>
        </w:rPr>
        <w:t xml:space="preserve">salt stress conditions </w:t>
      </w:r>
      <w:r w:rsidRPr="004B1DF4">
        <w:rPr>
          <w:sz w:val="22"/>
          <w:szCs w:val="22"/>
        </w:rPr>
        <w:t xml:space="preserve">[29];  salinity </w:t>
      </w:r>
      <w:r w:rsidRPr="004B1DF4">
        <w:rPr>
          <w:sz w:val="22"/>
          <w:szCs w:val="22"/>
          <w:lang w:eastAsia="ja-JP"/>
        </w:rPr>
        <w:t xml:space="preserve">levels enhanced the plant </w:t>
      </w:r>
      <w:r w:rsidRPr="004B1DF4">
        <w:rPr>
          <w:sz w:val="22"/>
          <w:szCs w:val="22"/>
        </w:rPr>
        <w:t>to preserve sugars for sustained metabolism, prolonged energy supply, and for better recovery after stress relief [30-34]. Th</w:t>
      </w:r>
      <w:r w:rsidRPr="004B1DF4">
        <w:rPr>
          <w:sz w:val="22"/>
          <w:szCs w:val="22"/>
          <w:lang w:eastAsia="ja-JP"/>
        </w:rPr>
        <w:t>e decrease in N uptake and protein contents during salinity stress conditions may</w:t>
      </w:r>
      <w:r w:rsidRPr="004B1DF4">
        <w:rPr>
          <w:sz w:val="22"/>
          <w:szCs w:val="22"/>
        </w:rPr>
        <w:t xml:space="preserve"> be due to low availability of N to plants [16].</w:t>
      </w:r>
      <w:r>
        <w:rPr>
          <w:sz w:val="22"/>
          <w:szCs w:val="22"/>
        </w:rPr>
        <w:t xml:space="preserve"> </w:t>
      </w:r>
    </w:p>
    <w:p w:rsidR="00C222D9" w:rsidRPr="00C222D9" w:rsidRDefault="00C222D9" w:rsidP="00C222D9">
      <w:pPr>
        <w:autoSpaceDE w:val="0"/>
        <w:autoSpaceDN w:val="0"/>
        <w:adjustRightInd w:val="0"/>
        <w:jc w:val="lowKashida"/>
        <w:rPr>
          <w:sz w:val="22"/>
          <w:szCs w:val="22"/>
        </w:rPr>
      </w:pPr>
      <w:r>
        <w:rPr>
          <w:sz w:val="22"/>
          <w:szCs w:val="22"/>
        </w:rPr>
        <w:t>On the other hand some new studies indicated that</w:t>
      </w:r>
      <w:r w:rsidRPr="001C3CB3">
        <w:rPr>
          <w:color w:val="2E2E2E"/>
          <w:sz w:val="22"/>
          <w:szCs w:val="22"/>
          <w:shd w:val="clear" w:color="auto" w:fill="FFFFFF"/>
        </w:rPr>
        <w:t xml:space="preserve"> salinity treatment reduced plant growth characters and increased the menthone and pulegone contents of mint herb [35].  </w:t>
      </w:r>
      <w:r w:rsidRPr="001C3CB3">
        <w:rPr>
          <w:sz w:val="22"/>
          <w:szCs w:val="22"/>
        </w:rPr>
        <w:t xml:space="preserve">The positive or negative effects of salt stress on basil depend on the degree of tolerance of the different genotypes </w:t>
      </w:r>
      <w:r w:rsidRPr="001C3CB3">
        <w:rPr>
          <w:color w:val="2E2E2E"/>
          <w:sz w:val="22"/>
          <w:szCs w:val="22"/>
          <w:shd w:val="clear" w:color="auto" w:fill="FFFFFF"/>
        </w:rPr>
        <w:t>[36]</w:t>
      </w:r>
      <w:r w:rsidRPr="001C3CB3">
        <w:rPr>
          <w:sz w:val="22"/>
          <w:szCs w:val="22"/>
        </w:rPr>
        <w:t>.</w:t>
      </w:r>
      <w:r w:rsidRPr="001C3CB3">
        <w:rPr>
          <w:color w:val="2E2E2E"/>
          <w:sz w:val="22"/>
          <w:szCs w:val="22"/>
          <w:shd w:val="clear" w:color="auto" w:fill="FFFFFF"/>
        </w:rPr>
        <w:t xml:space="preserve"> </w:t>
      </w:r>
      <w:r w:rsidRPr="001C3CB3">
        <w:rPr>
          <w:sz w:val="22"/>
          <w:szCs w:val="22"/>
        </w:rPr>
        <w:t xml:space="preserve">The accumulative effect of increasing salinity reduced stem height and elongation </w:t>
      </w:r>
      <w:r w:rsidRPr="001C3CB3">
        <w:rPr>
          <w:color w:val="2E2E2E"/>
          <w:sz w:val="22"/>
          <w:szCs w:val="22"/>
          <w:shd w:val="clear" w:color="auto" w:fill="FFFFFF"/>
        </w:rPr>
        <w:t>[37].</w:t>
      </w:r>
    </w:p>
    <w:p w:rsidR="00C222D9" w:rsidRDefault="00C222D9" w:rsidP="005F7F82">
      <w:pPr>
        <w:autoSpaceDE w:val="0"/>
        <w:autoSpaceDN w:val="0"/>
        <w:adjustRightInd w:val="0"/>
        <w:jc w:val="lowKashida"/>
        <w:rPr>
          <w:sz w:val="22"/>
          <w:szCs w:val="22"/>
        </w:rPr>
      </w:pPr>
    </w:p>
    <w:p w:rsidR="00B6707C" w:rsidRDefault="00B6707C" w:rsidP="005F7F82">
      <w:pPr>
        <w:autoSpaceDE w:val="0"/>
        <w:autoSpaceDN w:val="0"/>
        <w:adjustRightInd w:val="0"/>
        <w:jc w:val="lowKashida"/>
        <w:rPr>
          <w:b/>
          <w:bCs/>
        </w:rPr>
      </w:pPr>
    </w:p>
    <w:p w:rsidR="00B6707C" w:rsidRDefault="00B6707C" w:rsidP="005F7F82">
      <w:pPr>
        <w:autoSpaceDE w:val="0"/>
        <w:autoSpaceDN w:val="0"/>
        <w:adjustRightInd w:val="0"/>
        <w:jc w:val="lowKashida"/>
        <w:rPr>
          <w:b/>
          <w:bCs/>
        </w:rPr>
      </w:pPr>
      <w:r>
        <w:rPr>
          <w:b/>
          <w:bCs/>
        </w:rPr>
        <w:t>Conclusion</w:t>
      </w:r>
    </w:p>
    <w:p w:rsidR="00B6707C" w:rsidRPr="005F7F82" w:rsidRDefault="00B6707C" w:rsidP="005F7F82">
      <w:pPr>
        <w:autoSpaceDE w:val="0"/>
        <w:autoSpaceDN w:val="0"/>
        <w:adjustRightInd w:val="0"/>
        <w:jc w:val="both"/>
        <w:rPr>
          <w:sz w:val="22"/>
          <w:szCs w:val="22"/>
        </w:rPr>
      </w:pPr>
      <w:r w:rsidRPr="005F7F82">
        <w:rPr>
          <w:sz w:val="22"/>
          <w:szCs w:val="22"/>
        </w:rPr>
        <w:t xml:space="preserve">It </w:t>
      </w:r>
      <w:r w:rsidRPr="005F7F82">
        <w:t>has been concluded from present research study</w:t>
      </w:r>
      <w:r w:rsidRPr="005F7F82">
        <w:rPr>
          <w:sz w:val="22"/>
          <w:szCs w:val="22"/>
        </w:rPr>
        <w:t xml:space="preserve"> that PGC, N and CP were reduced as salinity stress increased. Salinity stress enhanced the EO, main components of EO, </w:t>
      </w:r>
      <w:r w:rsidRPr="005F7F82">
        <w:rPr>
          <w:sz w:val="22"/>
          <w:szCs w:val="22"/>
          <w:lang w:eastAsia="ja-JP"/>
        </w:rPr>
        <w:t>TSS,</w:t>
      </w:r>
      <w:r w:rsidRPr="005F7F82">
        <w:rPr>
          <w:sz w:val="22"/>
          <w:szCs w:val="22"/>
          <w:vertAlign w:val="superscript"/>
          <w:lang w:eastAsia="ja-JP"/>
        </w:rPr>
        <w:t xml:space="preserve"> </w:t>
      </w:r>
      <w:r w:rsidRPr="005F7F82">
        <w:rPr>
          <w:sz w:val="22"/>
          <w:szCs w:val="22"/>
        </w:rPr>
        <w:t xml:space="preserve">and PRO composition.  </w:t>
      </w:r>
      <w:r w:rsidRPr="005F7F82">
        <w:rPr>
          <w:i/>
          <w:iCs/>
          <w:sz w:val="22"/>
          <w:szCs w:val="22"/>
        </w:rPr>
        <w:t>N. sativa</w:t>
      </w:r>
      <w:r w:rsidRPr="005F7F82">
        <w:rPr>
          <w:sz w:val="22"/>
          <w:szCs w:val="22"/>
        </w:rPr>
        <w:t xml:space="preserve"> plants grow well under moderate levels of saline irrigation water. We can recommend that </w:t>
      </w:r>
      <w:r w:rsidRPr="005F7F82">
        <w:rPr>
          <w:i/>
          <w:iCs/>
          <w:sz w:val="22"/>
          <w:szCs w:val="22"/>
        </w:rPr>
        <w:t>N. sativa</w:t>
      </w:r>
      <w:r w:rsidRPr="005F7F82">
        <w:rPr>
          <w:sz w:val="22"/>
          <w:szCs w:val="22"/>
        </w:rPr>
        <w:t xml:space="preserve"> can grow under low levels of salinity.    </w:t>
      </w:r>
    </w:p>
    <w:p w:rsidR="00B6707C" w:rsidRDefault="00B6707C" w:rsidP="005F7F82">
      <w:pPr>
        <w:autoSpaceDE w:val="0"/>
        <w:autoSpaceDN w:val="0"/>
        <w:adjustRightInd w:val="0"/>
        <w:jc w:val="lowKashida"/>
        <w:rPr>
          <w:b/>
          <w:bCs/>
        </w:rPr>
      </w:pPr>
    </w:p>
    <w:p w:rsidR="002867CD" w:rsidRPr="005F7F82" w:rsidRDefault="002867CD" w:rsidP="005F7F82">
      <w:pPr>
        <w:autoSpaceDE w:val="0"/>
        <w:autoSpaceDN w:val="0"/>
        <w:adjustRightInd w:val="0"/>
        <w:jc w:val="lowKashida"/>
        <w:rPr>
          <w:b/>
          <w:bCs/>
        </w:rPr>
      </w:pPr>
    </w:p>
    <w:p w:rsidR="00B6707C" w:rsidRPr="005F7F82" w:rsidRDefault="00B6707C" w:rsidP="005F7F82">
      <w:pPr>
        <w:autoSpaceDE w:val="0"/>
        <w:autoSpaceDN w:val="0"/>
        <w:adjustRightInd w:val="0"/>
        <w:jc w:val="lowKashida"/>
        <w:rPr>
          <w:b/>
          <w:bCs/>
        </w:rPr>
      </w:pPr>
      <w:r w:rsidRPr="005F7F82">
        <w:rPr>
          <w:b/>
          <w:bCs/>
        </w:rPr>
        <w:t>References</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Chopra R. N., Nayar S, Chopra I C., </w:t>
      </w:r>
      <w:smartTag w:uri="urn:schemas-microsoft-com:office:smarttags" w:element="City">
        <w:smartTag w:uri="urn:schemas-microsoft-com:office:smarttags" w:element="place">
          <w:r w:rsidRPr="005F7F82">
            <w:rPr>
              <w:i/>
              <w:iCs/>
              <w:sz w:val="22"/>
              <w:szCs w:val="22"/>
            </w:rPr>
            <w:t>New Delhi</w:t>
          </w:r>
        </w:smartTag>
      </w:smartTag>
      <w:r w:rsidRPr="005F7F82">
        <w:rPr>
          <w:i/>
          <w:iCs/>
          <w:sz w:val="22"/>
          <w:szCs w:val="22"/>
        </w:rPr>
        <w:t>: Council of Scientific and Industrial Research</w:t>
      </w:r>
      <w:r w:rsidRPr="005F7F82">
        <w:rPr>
          <w:sz w:val="22"/>
          <w:szCs w:val="22"/>
        </w:rPr>
        <w:t xml:space="preserve"> (1956).</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Nadkarni K., </w:t>
      </w:r>
      <w:r w:rsidRPr="005F7F82">
        <w:rPr>
          <w:i/>
          <w:iCs/>
          <w:sz w:val="22"/>
          <w:szCs w:val="22"/>
        </w:rPr>
        <w:t xml:space="preserve">In: Nadkarni KM (Editor), Indian materia medica. </w:t>
      </w:r>
      <w:smartTag w:uri="urn:schemas-microsoft-com:office:smarttags" w:element="City">
        <w:smartTag w:uri="urn:schemas-microsoft-com:office:smarttags" w:element="place">
          <w:r w:rsidRPr="005F7F82">
            <w:rPr>
              <w:i/>
              <w:iCs/>
              <w:sz w:val="22"/>
              <w:szCs w:val="22"/>
            </w:rPr>
            <w:t>Bombay</w:t>
          </w:r>
        </w:smartTag>
      </w:smartTag>
      <w:r w:rsidRPr="005F7F82">
        <w:rPr>
          <w:i/>
          <w:iCs/>
          <w:sz w:val="22"/>
          <w:szCs w:val="22"/>
        </w:rPr>
        <w:t>: Popular Prakashan</w:t>
      </w:r>
      <w:r w:rsidRPr="005F7F82">
        <w:rPr>
          <w:sz w:val="22"/>
          <w:szCs w:val="22"/>
        </w:rPr>
        <w:t xml:space="preserve"> (1974).</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Gaspar T., Franck T., Bisbis B., Kevers C., Jouve L., Hausman J. F., Dommes J., </w:t>
      </w:r>
      <w:r w:rsidRPr="005F7F82">
        <w:rPr>
          <w:i/>
          <w:iCs/>
          <w:sz w:val="22"/>
          <w:szCs w:val="22"/>
        </w:rPr>
        <w:t>Plant  Growth   Reg</w:t>
      </w:r>
      <w:r w:rsidRPr="005F7F82">
        <w:rPr>
          <w:sz w:val="22"/>
          <w:szCs w:val="22"/>
        </w:rPr>
        <w:t>., 37 (2002)  263–285.</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Hanafy M. S., Boselah N.A.E., Omer K. F., </w:t>
      </w:r>
      <w:r w:rsidRPr="005F7F82">
        <w:rPr>
          <w:i/>
          <w:iCs/>
          <w:sz w:val="22"/>
          <w:szCs w:val="22"/>
        </w:rPr>
        <w:t>Proc. 1</w:t>
      </w:r>
      <w:r w:rsidRPr="005F7F82">
        <w:rPr>
          <w:i/>
          <w:iCs/>
          <w:sz w:val="22"/>
          <w:szCs w:val="22"/>
          <w:vertAlign w:val="superscript"/>
        </w:rPr>
        <w:t>st</w:t>
      </w:r>
      <w:r w:rsidRPr="005F7F82">
        <w:rPr>
          <w:i/>
          <w:iCs/>
          <w:sz w:val="22"/>
          <w:szCs w:val="22"/>
        </w:rPr>
        <w:t xml:space="preserve"> Conference of Ornamental Horticulture, </w:t>
      </w:r>
      <w:smartTag w:uri="urn:schemas-microsoft-com:office:smarttags" w:element="place">
        <w:smartTag w:uri="urn:schemas-microsoft-com:office:smarttags" w:element="City">
          <w:r w:rsidRPr="005F7F82">
            <w:rPr>
              <w:i/>
              <w:iCs/>
              <w:sz w:val="22"/>
              <w:szCs w:val="22"/>
            </w:rPr>
            <w:t>Cairo Univ.</w:t>
          </w:r>
        </w:smartTag>
        <w:r w:rsidRPr="005F7F82">
          <w:rPr>
            <w:i/>
            <w:iCs/>
            <w:sz w:val="22"/>
            <w:szCs w:val="22"/>
          </w:rPr>
          <w:t xml:space="preserve">, </w:t>
        </w:r>
        <w:smartTag w:uri="urn:schemas-microsoft-com:office:smarttags" w:element="country-region">
          <w:r w:rsidRPr="005F7F82">
            <w:rPr>
              <w:i/>
              <w:iCs/>
              <w:sz w:val="22"/>
              <w:szCs w:val="22"/>
            </w:rPr>
            <w:t>Egypt</w:t>
          </w:r>
        </w:smartTag>
      </w:smartTag>
      <w:r w:rsidRPr="005F7F82">
        <w:rPr>
          <w:sz w:val="22"/>
          <w:szCs w:val="22"/>
        </w:rPr>
        <w:t xml:space="preserve"> (1994).</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Hajar A.S., Zidan M. A., Al-Zahrani H. S., </w:t>
      </w:r>
      <w:r w:rsidRPr="005F7F82">
        <w:rPr>
          <w:i/>
          <w:iCs/>
          <w:sz w:val="22"/>
          <w:szCs w:val="22"/>
          <w:shd w:val="clear" w:color="auto" w:fill="FFFFFF"/>
        </w:rPr>
        <w:t>Arab Gulf J. Sci. Res</w:t>
      </w:r>
      <w:r w:rsidRPr="005F7F82">
        <w:rPr>
          <w:sz w:val="22"/>
          <w:szCs w:val="22"/>
          <w:shd w:val="clear" w:color="auto" w:fill="FFFFFF"/>
        </w:rPr>
        <w:t>.,</w:t>
      </w:r>
      <w:r w:rsidRPr="005F7F82">
        <w:rPr>
          <w:sz w:val="22"/>
          <w:szCs w:val="22"/>
        </w:rPr>
        <w:t xml:space="preserve"> 14 (1996) 445-454.</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Khalid K. A., </w:t>
      </w:r>
      <w:r w:rsidRPr="005F7F82">
        <w:rPr>
          <w:i/>
          <w:iCs/>
          <w:sz w:val="22"/>
          <w:szCs w:val="22"/>
        </w:rPr>
        <w:t xml:space="preserve">Ph.D. Thesis., Faculty Agriculture, </w:t>
      </w:r>
      <w:smartTag w:uri="urn:schemas-microsoft-com:office:smarttags" w:element="PlaceName">
        <w:r w:rsidRPr="005F7F82">
          <w:rPr>
            <w:i/>
            <w:iCs/>
            <w:sz w:val="22"/>
            <w:szCs w:val="22"/>
          </w:rPr>
          <w:t>Ain-Shams</w:t>
        </w:r>
      </w:smartTag>
      <w:r w:rsidRPr="005F7F82">
        <w:rPr>
          <w:i/>
          <w:iCs/>
          <w:sz w:val="22"/>
          <w:szCs w:val="22"/>
        </w:rPr>
        <w:t xml:space="preserve"> </w:t>
      </w:r>
      <w:smartTag w:uri="urn:schemas-microsoft-com:office:smarttags" w:element="PlaceType">
        <w:r w:rsidRPr="005F7F82">
          <w:rPr>
            <w:i/>
            <w:iCs/>
            <w:sz w:val="22"/>
            <w:szCs w:val="22"/>
          </w:rPr>
          <w:t>Univ.</w:t>
        </w:r>
      </w:smartTag>
      <w:r w:rsidRPr="005F7F82">
        <w:rPr>
          <w:i/>
          <w:iCs/>
          <w:sz w:val="22"/>
          <w:szCs w:val="22"/>
        </w:rPr>
        <w:t xml:space="preserve">, </w:t>
      </w:r>
      <w:smartTag w:uri="urn:schemas-microsoft-com:office:smarttags" w:element="City">
        <w:r w:rsidRPr="005F7F82">
          <w:rPr>
            <w:i/>
            <w:iCs/>
            <w:sz w:val="22"/>
            <w:szCs w:val="22"/>
          </w:rPr>
          <w:t>Cairo</w:t>
        </w:r>
      </w:smartTag>
      <w:r w:rsidRPr="005F7F82">
        <w:rPr>
          <w:i/>
          <w:iCs/>
          <w:sz w:val="22"/>
          <w:szCs w:val="22"/>
        </w:rPr>
        <w:t xml:space="preserve"> </w:t>
      </w:r>
      <w:smartTag w:uri="urn:schemas-microsoft-com:office:smarttags" w:element="country-region">
        <w:smartTag w:uri="urn:schemas-microsoft-com:office:smarttags" w:element="place">
          <w:r w:rsidRPr="005F7F82">
            <w:rPr>
              <w:i/>
              <w:iCs/>
              <w:sz w:val="22"/>
              <w:szCs w:val="22"/>
            </w:rPr>
            <w:t>Egypt</w:t>
          </w:r>
        </w:smartTag>
      </w:smartTag>
      <w:r w:rsidRPr="005F7F82">
        <w:rPr>
          <w:sz w:val="22"/>
          <w:szCs w:val="22"/>
        </w:rPr>
        <w:t xml:space="preserve"> (2001).</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Kotb S., El-Gamal E., </w:t>
      </w:r>
      <w:r w:rsidRPr="005F7F82">
        <w:rPr>
          <w:i/>
          <w:iCs/>
          <w:sz w:val="22"/>
          <w:szCs w:val="22"/>
        </w:rPr>
        <w:t>J. Agric. Res</w:t>
      </w:r>
      <w:r w:rsidRPr="005F7F82">
        <w:rPr>
          <w:sz w:val="22"/>
          <w:szCs w:val="22"/>
        </w:rPr>
        <w:t>.,</w:t>
      </w:r>
      <w:r w:rsidRPr="005F7F82">
        <w:rPr>
          <w:i/>
          <w:iCs/>
          <w:sz w:val="22"/>
          <w:szCs w:val="22"/>
        </w:rPr>
        <w:t xml:space="preserve"> </w:t>
      </w:r>
      <w:r w:rsidRPr="005F7F82">
        <w:rPr>
          <w:sz w:val="22"/>
          <w:szCs w:val="22"/>
        </w:rPr>
        <w:t>72 (1994) 195 -206.</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Ghamarnia H., Jalili Z., Daichin S</w:t>
      </w:r>
      <w:r w:rsidRPr="005F7F82">
        <w:rPr>
          <w:i/>
          <w:iCs/>
          <w:sz w:val="22"/>
          <w:szCs w:val="22"/>
        </w:rPr>
        <w:t>., Int. J. Agric.  Sci</w:t>
      </w:r>
      <w:r w:rsidRPr="005F7F82">
        <w:rPr>
          <w:sz w:val="22"/>
          <w:szCs w:val="22"/>
        </w:rPr>
        <w:t xml:space="preserve">., 2 (2012) 915-922. </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lang w:val="pt-BR"/>
        </w:rPr>
        <w:t>Khalid A. K.,</w:t>
      </w:r>
      <w:r w:rsidRPr="005F7F82">
        <w:rPr>
          <w:sz w:val="22"/>
          <w:szCs w:val="22"/>
          <w:vertAlign w:val="superscript"/>
          <w:lang w:val="pt-BR"/>
        </w:rPr>
        <w:t xml:space="preserve"> </w:t>
      </w:r>
      <w:r w:rsidRPr="005F7F82">
        <w:rPr>
          <w:sz w:val="22"/>
          <w:szCs w:val="22"/>
          <w:lang w:val="pt-BR"/>
        </w:rPr>
        <w:t>Shedeed M. R</w:t>
      </w:r>
      <w:r w:rsidRPr="005F7F82">
        <w:rPr>
          <w:caps/>
          <w:sz w:val="22"/>
          <w:szCs w:val="22"/>
          <w:lang w:val="pt-BR"/>
        </w:rPr>
        <w:t>.</w:t>
      </w:r>
      <w:r w:rsidRPr="005F7F82">
        <w:rPr>
          <w:sz w:val="22"/>
          <w:szCs w:val="22"/>
          <w:lang w:val="pt-BR"/>
        </w:rPr>
        <w:t>,</w:t>
      </w:r>
      <w:r w:rsidRPr="005F7F82">
        <w:rPr>
          <w:sz w:val="22"/>
          <w:szCs w:val="22"/>
        </w:rPr>
        <w:t xml:space="preserve"> </w:t>
      </w:r>
      <w:r w:rsidRPr="005F7F82">
        <w:rPr>
          <w:i/>
          <w:iCs/>
          <w:sz w:val="22"/>
          <w:szCs w:val="22"/>
        </w:rPr>
        <w:t>Nus.  Biosci</w:t>
      </w:r>
      <w:r w:rsidRPr="005F7F82">
        <w:rPr>
          <w:sz w:val="22"/>
          <w:szCs w:val="22"/>
        </w:rPr>
        <w:t xml:space="preserve">., 6 (2014) 146 – 151. </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Hendawy S. F., Khalid K. A., </w:t>
      </w:r>
      <w:r w:rsidRPr="005F7F82">
        <w:rPr>
          <w:i/>
          <w:iCs/>
          <w:sz w:val="22"/>
          <w:szCs w:val="22"/>
        </w:rPr>
        <w:t>J. App. Sci. Res</w:t>
      </w:r>
      <w:r w:rsidRPr="005F7F82">
        <w:rPr>
          <w:sz w:val="22"/>
          <w:szCs w:val="22"/>
        </w:rPr>
        <w:t xml:space="preserve">., 1 (2005) 147-155. </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lang w:val="pt-BR"/>
        </w:rPr>
        <w:t>Khalid A. K., Cai W.,</w:t>
      </w:r>
      <w:r w:rsidRPr="005F7F82">
        <w:rPr>
          <w:sz w:val="22"/>
          <w:szCs w:val="22"/>
        </w:rPr>
        <w:t xml:space="preserve"> </w:t>
      </w:r>
      <w:r w:rsidRPr="005F7F82">
        <w:rPr>
          <w:i/>
          <w:iCs/>
          <w:sz w:val="22"/>
          <w:szCs w:val="22"/>
        </w:rPr>
        <w:t>Acta Eco. Sinica</w:t>
      </w:r>
      <w:r w:rsidRPr="005F7F82">
        <w:rPr>
          <w:sz w:val="22"/>
          <w:szCs w:val="22"/>
        </w:rPr>
        <w:t>, 31 (</w:t>
      </w:r>
      <w:r w:rsidRPr="005F7F82">
        <w:rPr>
          <w:sz w:val="22"/>
          <w:szCs w:val="22"/>
          <w:lang w:val="pt-BR"/>
        </w:rPr>
        <w:t>2011</w:t>
      </w:r>
      <w:r w:rsidRPr="005F7F82">
        <w:rPr>
          <w:sz w:val="22"/>
          <w:szCs w:val="22"/>
        </w:rPr>
        <w:t xml:space="preserve">) 112-120. </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Dadkhah A., Rassam G., </w:t>
      </w:r>
      <w:r w:rsidRPr="005F7F82">
        <w:rPr>
          <w:i/>
          <w:iCs/>
          <w:sz w:val="22"/>
          <w:szCs w:val="22"/>
        </w:rPr>
        <w:t>Z Arznei- Gewurzpfla</w:t>
      </w:r>
      <w:r w:rsidRPr="005F7F82">
        <w:rPr>
          <w:sz w:val="22"/>
          <w:szCs w:val="22"/>
        </w:rPr>
        <w:t>,</w:t>
      </w:r>
      <w:r w:rsidRPr="005F7F82">
        <w:rPr>
          <w:i/>
          <w:iCs/>
          <w:sz w:val="22"/>
          <w:szCs w:val="22"/>
        </w:rPr>
        <w:t xml:space="preserve"> </w:t>
      </w:r>
      <w:r w:rsidRPr="005F7F82">
        <w:rPr>
          <w:sz w:val="22"/>
          <w:szCs w:val="22"/>
        </w:rPr>
        <w:t>20 (2015) 131–133.</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Okkaoglu H., Sonmez C., Simsek A. O., Bayram E., </w:t>
      </w:r>
      <w:r w:rsidRPr="005F7F82">
        <w:rPr>
          <w:i/>
          <w:iCs/>
          <w:sz w:val="22"/>
          <w:szCs w:val="22"/>
        </w:rPr>
        <w:t>J.  App. Bio-Sci</w:t>
      </w:r>
      <w:r w:rsidRPr="005F7F82">
        <w:rPr>
          <w:sz w:val="22"/>
          <w:szCs w:val="22"/>
        </w:rPr>
        <w:t>., 9 (2015) 22 -24.</w:t>
      </w:r>
    </w:p>
    <w:p w:rsidR="00B6707C" w:rsidRPr="004E1D51" w:rsidRDefault="00B6707C" w:rsidP="005F7F82">
      <w:pPr>
        <w:numPr>
          <w:ilvl w:val="0"/>
          <w:numId w:val="1"/>
        </w:numPr>
        <w:tabs>
          <w:tab w:val="clear" w:pos="720"/>
          <w:tab w:val="num" w:pos="426"/>
        </w:tabs>
        <w:ind w:left="426"/>
        <w:jc w:val="both"/>
        <w:rPr>
          <w:sz w:val="22"/>
          <w:szCs w:val="22"/>
          <w:lang w:val="fr-FR"/>
        </w:rPr>
      </w:pPr>
      <w:r w:rsidRPr="004E1D51">
        <w:rPr>
          <w:sz w:val="22"/>
          <w:szCs w:val="22"/>
          <w:lang w:val="fr-FR"/>
        </w:rPr>
        <w:t xml:space="preserve">Tounekti </w:t>
      </w:r>
      <w:hyperlink r:id="rId23" w:history="1">
        <w:r w:rsidRPr="004E1D51">
          <w:rPr>
            <w:rStyle w:val="Lienhypertexte"/>
            <w:color w:val="auto"/>
            <w:sz w:val="22"/>
            <w:szCs w:val="22"/>
            <w:u w:val="none"/>
            <w:shd w:val="clear" w:color="auto" w:fill="FFFFFF"/>
            <w:lang w:val="fr-FR"/>
          </w:rPr>
          <w:t xml:space="preserve">T., </w:t>
        </w:r>
      </w:hyperlink>
      <w:hyperlink r:id="rId24" w:history="1">
        <w:r w:rsidRPr="004E1D51">
          <w:rPr>
            <w:rStyle w:val="Lienhypertexte"/>
            <w:color w:val="auto"/>
            <w:sz w:val="22"/>
            <w:szCs w:val="22"/>
            <w:u w:val="none"/>
            <w:shd w:val="clear" w:color="auto" w:fill="FFFFFF"/>
            <w:lang w:val="fr-FR"/>
          </w:rPr>
          <w:t xml:space="preserve"> Khemira</w:t>
        </w:r>
      </w:hyperlink>
      <w:r w:rsidRPr="004E1D51">
        <w:rPr>
          <w:lang w:val="fr-FR"/>
        </w:rPr>
        <w:t xml:space="preserve"> </w:t>
      </w:r>
      <w:r w:rsidRPr="004E1D51">
        <w:rPr>
          <w:sz w:val="22"/>
          <w:szCs w:val="22"/>
          <w:lang w:val="fr-FR"/>
        </w:rPr>
        <w:t xml:space="preserve">H., </w:t>
      </w:r>
      <w:r w:rsidRPr="004E1D51">
        <w:rPr>
          <w:i/>
          <w:iCs/>
          <w:sz w:val="22"/>
          <w:szCs w:val="22"/>
          <w:shd w:val="clear" w:color="auto" w:fill="FFFFFF"/>
          <w:lang w:val="fr-FR"/>
        </w:rPr>
        <w:t>Int. J. Ethnopharma.</w:t>
      </w:r>
      <w:r w:rsidRPr="004E1D51">
        <w:rPr>
          <w:sz w:val="22"/>
          <w:szCs w:val="22"/>
          <w:shd w:val="clear" w:color="auto" w:fill="FFFFFF"/>
          <w:lang w:val="fr-FR"/>
        </w:rPr>
        <w:t>, 4 (</w:t>
      </w:r>
      <w:r w:rsidRPr="004E1D51">
        <w:rPr>
          <w:sz w:val="22"/>
          <w:szCs w:val="22"/>
          <w:lang w:val="fr-FR"/>
        </w:rPr>
        <w:t>2015</w:t>
      </w:r>
      <w:r w:rsidRPr="004E1D51">
        <w:rPr>
          <w:sz w:val="22"/>
          <w:szCs w:val="22"/>
          <w:shd w:val="clear" w:color="auto" w:fill="FFFFFF"/>
          <w:lang w:val="fr-FR"/>
        </w:rPr>
        <w:t>) 208–216.</w:t>
      </w:r>
    </w:p>
    <w:p w:rsidR="00B6707C" w:rsidRPr="005F7F82" w:rsidRDefault="00B6707C" w:rsidP="005F7F82">
      <w:pPr>
        <w:numPr>
          <w:ilvl w:val="0"/>
          <w:numId w:val="1"/>
        </w:numPr>
        <w:tabs>
          <w:tab w:val="clear" w:pos="720"/>
          <w:tab w:val="num" w:pos="426"/>
        </w:tabs>
        <w:ind w:left="426"/>
        <w:jc w:val="both"/>
        <w:rPr>
          <w:sz w:val="22"/>
          <w:szCs w:val="22"/>
        </w:rPr>
      </w:pPr>
      <w:smartTag w:uri="urn:schemas-microsoft-com:office:smarttags" w:element="place">
        <w:smartTag w:uri="urn:schemas:contacts" w:element="GivenName">
          <w:r w:rsidRPr="005F7F82">
            <w:rPr>
              <w:sz w:val="22"/>
              <w:szCs w:val="22"/>
            </w:rPr>
            <w:t>Abou</w:t>
          </w:r>
        </w:smartTag>
        <w:r w:rsidRPr="005F7F82">
          <w:rPr>
            <w:sz w:val="22"/>
            <w:szCs w:val="22"/>
          </w:rPr>
          <w:t xml:space="preserve"> </w:t>
        </w:r>
        <w:smartTag w:uri="urn:schemas:contacts" w:element="middlename">
          <w:r w:rsidRPr="005F7F82">
            <w:rPr>
              <w:sz w:val="22"/>
              <w:szCs w:val="22"/>
            </w:rPr>
            <w:t>El-Fadl</w:t>
          </w:r>
        </w:smartTag>
        <w:r w:rsidRPr="005F7F82">
          <w:rPr>
            <w:sz w:val="22"/>
            <w:szCs w:val="22"/>
          </w:rPr>
          <w:t xml:space="preserve"> </w:t>
        </w:r>
        <w:smartTag w:uri="urn:schemas:contacts" w:element="Sn">
          <w:r w:rsidRPr="005F7F82">
            <w:rPr>
              <w:sz w:val="22"/>
              <w:szCs w:val="22"/>
            </w:rPr>
            <w:t>I.</w:t>
          </w:r>
        </w:smartTag>
      </w:smartTag>
      <w:r w:rsidRPr="005F7F82">
        <w:rPr>
          <w:sz w:val="22"/>
          <w:szCs w:val="22"/>
        </w:rPr>
        <w:t xml:space="preserve"> A., Abd-Ella M. K., Hussein E. H., </w:t>
      </w:r>
      <w:r w:rsidRPr="005F7F82">
        <w:rPr>
          <w:i/>
          <w:iCs/>
          <w:sz w:val="22"/>
          <w:szCs w:val="22"/>
        </w:rPr>
        <w:t>J. Agric. Res</w:t>
      </w:r>
      <w:r w:rsidRPr="005F7F82">
        <w:rPr>
          <w:sz w:val="22"/>
          <w:szCs w:val="22"/>
        </w:rPr>
        <w:t xml:space="preserve">.  </w:t>
      </w:r>
      <w:smartTag w:uri="urn:schemas-microsoft-com:office:smarttags" w:element="place">
        <w:smartTag w:uri="urn:schemas-microsoft-com:office:smarttags" w:element="PlaceName">
          <w:r w:rsidRPr="005F7F82">
            <w:rPr>
              <w:i/>
              <w:iCs/>
              <w:sz w:val="22"/>
              <w:szCs w:val="22"/>
            </w:rPr>
            <w:t>Tanta</w:t>
          </w:r>
        </w:smartTag>
        <w:r w:rsidRPr="005F7F82">
          <w:rPr>
            <w:i/>
            <w:iCs/>
            <w:sz w:val="22"/>
            <w:szCs w:val="22"/>
          </w:rPr>
          <w:t xml:space="preserve"> </w:t>
        </w:r>
        <w:smartTag w:uri="urn:schemas-microsoft-com:office:smarttags" w:element="PlaceType">
          <w:r w:rsidRPr="005F7F82">
            <w:rPr>
              <w:i/>
              <w:iCs/>
              <w:sz w:val="22"/>
              <w:szCs w:val="22"/>
            </w:rPr>
            <w:t>Univ</w:t>
          </w:r>
          <w:r w:rsidRPr="005F7F82">
            <w:rPr>
              <w:sz w:val="22"/>
              <w:szCs w:val="22"/>
            </w:rPr>
            <w:t>.</w:t>
          </w:r>
        </w:smartTag>
      </w:smartTag>
      <w:r w:rsidRPr="005F7F82">
        <w:rPr>
          <w:sz w:val="22"/>
          <w:szCs w:val="22"/>
        </w:rPr>
        <w:t>, 16 (1990) 276–295.</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El-Sherif A. F., Shehata S.M., Youssif R.M., </w:t>
      </w:r>
      <w:r w:rsidRPr="005F7F82">
        <w:rPr>
          <w:i/>
          <w:iCs/>
          <w:sz w:val="22"/>
          <w:szCs w:val="22"/>
        </w:rPr>
        <w:t>J</w:t>
      </w:r>
      <w:r w:rsidRPr="005F7F82">
        <w:rPr>
          <w:i/>
          <w:iCs/>
          <w:sz w:val="22"/>
          <w:szCs w:val="22"/>
          <w:lang w:eastAsia="zh-CN"/>
        </w:rPr>
        <w:t xml:space="preserve">. </w:t>
      </w:r>
      <w:r w:rsidRPr="005F7F82">
        <w:rPr>
          <w:i/>
          <w:iCs/>
          <w:sz w:val="22"/>
          <w:szCs w:val="22"/>
        </w:rPr>
        <w:t>Hort. Sci</w:t>
      </w:r>
      <w:r w:rsidRPr="005F7F82">
        <w:rPr>
          <w:sz w:val="22"/>
          <w:szCs w:val="22"/>
        </w:rPr>
        <w:t>., 17 (1990) 131-142.</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lastRenderedPageBreak/>
        <w:t xml:space="preserve">Clevenger J. F., </w:t>
      </w:r>
      <w:r w:rsidRPr="005F7F82">
        <w:rPr>
          <w:i/>
          <w:iCs/>
          <w:sz w:val="22"/>
          <w:szCs w:val="22"/>
        </w:rPr>
        <w:t>J</w:t>
      </w:r>
      <w:r w:rsidRPr="005F7F82">
        <w:rPr>
          <w:i/>
          <w:iCs/>
          <w:sz w:val="22"/>
          <w:szCs w:val="22"/>
          <w:lang w:eastAsia="zh-CN"/>
        </w:rPr>
        <w:t>.</w:t>
      </w:r>
      <w:r w:rsidRPr="005F7F82">
        <w:rPr>
          <w:i/>
          <w:iCs/>
          <w:sz w:val="22"/>
          <w:szCs w:val="22"/>
        </w:rPr>
        <w:t xml:space="preserve"> Amer</w:t>
      </w:r>
      <w:r w:rsidRPr="005F7F82">
        <w:rPr>
          <w:i/>
          <w:iCs/>
          <w:sz w:val="22"/>
          <w:szCs w:val="22"/>
          <w:lang w:eastAsia="zh-CN"/>
        </w:rPr>
        <w:t>.</w:t>
      </w:r>
      <w:r w:rsidRPr="005F7F82">
        <w:rPr>
          <w:i/>
          <w:iCs/>
          <w:sz w:val="22"/>
          <w:szCs w:val="22"/>
        </w:rPr>
        <w:t xml:space="preserve"> Pharma.</w:t>
      </w:r>
      <w:r w:rsidRPr="005F7F82">
        <w:rPr>
          <w:i/>
          <w:iCs/>
          <w:sz w:val="22"/>
          <w:szCs w:val="22"/>
          <w:lang w:eastAsia="zh-CN"/>
        </w:rPr>
        <w:t xml:space="preserve"> Ass.,</w:t>
      </w:r>
      <w:r w:rsidRPr="005F7F82">
        <w:rPr>
          <w:sz w:val="22"/>
          <w:szCs w:val="22"/>
        </w:rPr>
        <w:t xml:space="preserve"> 17 (1928) 346-349. </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Adams R. P., </w:t>
      </w:r>
      <w:r w:rsidRPr="005F7F82">
        <w:rPr>
          <w:i/>
          <w:iCs/>
          <w:sz w:val="22"/>
          <w:szCs w:val="22"/>
        </w:rPr>
        <w:t xml:space="preserve">Allured, </w:t>
      </w:r>
      <w:smartTag w:uri="urn:schemas-microsoft-com:office:smarttags" w:element="City">
        <w:r w:rsidRPr="005F7F82">
          <w:rPr>
            <w:i/>
            <w:iCs/>
            <w:sz w:val="22"/>
            <w:szCs w:val="22"/>
          </w:rPr>
          <w:t>Carol Stream</w:t>
        </w:r>
      </w:smartTag>
      <w:r w:rsidRPr="005F7F82">
        <w:rPr>
          <w:i/>
          <w:iCs/>
          <w:sz w:val="22"/>
          <w:szCs w:val="22"/>
        </w:rPr>
        <w:t xml:space="preserve">, </w:t>
      </w:r>
      <w:smartTag w:uri="urn:schemas-microsoft-com:office:smarttags" w:element="State">
        <w:r w:rsidRPr="005F7F82">
          <w:rPr>
            <w:i/>
            <w:iCs/>
            <w:sz w:val="22"/>
            <w:szCs w:val="22"/>
          </w:rPr>
          <w:t>Illinois</w:t>
        </w:r>
      </w:smartTag>
      <w:r w:rsidRPr="005F7F82">
        <w:rPr>
          <w:i/>
          <w:iCs/>
          <w:sz w:val="22"/>
          <w:szCs w:val="22"/>
        </w:rPr>
        <w:t xml:space="preserve">, and </w:t>
      </w:r>
      <w:smartTag w:uri="urn:schemas-microsoft-com:office:smarttags" w:element="country-region">
        <w:smartTag w:uri="urn:schemas-microsoft-com:office:smarttags" w:element="place">
          <w:r w:rsidRPr="005F7F82">
            <w:rPr>
              <w:i/>
              <w:iCs/>
              <w:sz w:val="22"/>
              <w:szCs w:val="22"/>
            </w:rPr>
            <w:t>U.S.A.</w:t>
          </w:r>
        </w:smartTag>
      </w:smartTag>
      <w:r w:rsidRPr="005F7F82">
        <w:rPr>
          <w:sz w:val="22"/>
          <w:szCs w:val="22"/>
        </w:rPr>
        <w:t xml:space="preserve"> (1995).</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Bates L. S., Waldren R.P., Teare I.D., </w:t>
      </w:r>
      <w:r w:rsidRPr="005F7F82">
        <w:rPr>
          <w:i/>
          <w:iCs/>
          <w:sz w:val="22"/>
          <w:szCs w:val="22"/>
        </w:rPr>
        <w:t>Plant and Soil</w:t>
      </w:r>
      <w:r w:rsidRPr="005F7F82">
        <w:rPr>
          <w:sz w:val="22"/>
          <w:szCs w:val="22"/>
        </w:rPr>
        <w:t>, 39 (1973) 205-207</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Dubois M., Gilles K. A., </w:t>
      </w:r>
      <w:smartTag w:uri="urn:schemas-microsoft-com:office:smarttags" w:element="place">
        <w:smartTag w:uri="urn:schemas-microsoft-com:office:smarttags" w:element="City">
          <w:r w:rsidRPr="005F7F82">
            <w:rPr>
              <w:sz w:val="22"/>
              <w:szCs w:val="22"/>
            </w:rPr>
            <w:t>Hamilton</w:t>
          </w:r>
        </w:smartTag>
      </w:smartTag>
      <w:r w:rsidRPr="005F7F82">
        <w:rPr>
          <w:sz w:val="22"/>
          <w:szCs w:val="22"/>
        </w:rPr>
        <w:t xml:space="preserve"> J. K., Roberts P.A., Smith F., </w:t>
      </w:r>
      <w:r w:rsidRPr="005F7F82">
        <w:rPr>
          <w:i/>
          <w:iCs/>
          <w:sz w:val="22"/>
          <w:szCs w:val="22"/>
        </w:rPr>
        <w:t xml:space="preserve">Ann. </w:t>
      </w:r>
      <w:r w:rsidRPr="005F7F82">
        <w:rPr>
          <w:i/>
          <w:iCs/>
          <w:sz w:val="22"/>
          <w:szCs w:val="22"/>
          <w:lang w:eastAsia="zh-CN"/>
        </w:rPr>
        <w:t>Chem</w:t>
      </w:r>
      <w:r w:rsidRPr="005F7F82">
        <w:rPr>
          <w:sz w:val="22"/>
          <w:szCs w:val="22"/>
        </w:rPr>
        <w:t>., 28 (1956) 350-359.</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Association of Official Agricultural Chemistry (AOAC), </w:t>
      </w:r>
      <w:smartTag w:uri="urn:schemas-microsoft-com:office:smarttags" w:element="place">
        <w:smartTag w:uri="urn:schemas-microsoft-com:office:smarttags" w:element="City">
          <w:r w:rsidRPr="005F7F82">
            <w:rPr>
              <w:i/>
              <w:iCs/>
              <w:sz w:val="22"/>
              <w:szCs w:val="22"/>
            </w:rPr>
            <w:t>Washington</w:t>
          </w:r>
        </w:smartTag>
        <w:r w:rsidRPr="005F7F82">
          <w:rPr>
            <w:i/>
            <w:iCs/>
            <w:sz w:val="22"/>
            <w:szCs w:val="22"/>
          </w:rPr>
          <w:t xml:space="preserve">, </w:t>
        </w:r>
        <w:smartTag w:uri="urn:schemas-microsoft-com:office:smarttags" w:element="State">
          <w:r w:rsidRPr="005F7F82">
            <w:rPr>
              <w:i/>
              <w:iCs/>
              <w:sz w:val="22"/>
              <w:szCs w:val="22"/>
            </w:rPr>
            <w:t>D.C.</w:t>
          </w:r>
        </w:smartTag>
        <w:r w:rsidRPr="005F7F82">
          <w:rPr>
            <w:i/>
            <w:iCs/>
            <w:sz w:val="22"/>
            <w:szCs w:val="22"/>
          </w:rPr>
          <w:t xml:space="preserve">, </w:t>
        </w:r>
        <w:smartTag w:uri="urn:schemas-microsoft-com:office:smarttags" w:element="country-region">
          <w:r w:rsidRPr="005F7F82">
            <w:rPr>
              <w:i/>
              <w:iCs/>
              <w:sz w:val="22"/>
              <w:szCs w:val="22"/>
            </w:rPr>
            <w:t>USA</w:t>
          </w:r>
        </w:smartTag>
      </w:smartTag>
      <w:r w:rsidRPr="005F7F82">
        <w:rPr>
          <w:sz w:val="22"/>
          <w:szCs w:val="22"/>
        </w:rPr>
        <w:t xml:space="preserve">, (1970). </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lang w:bidi="hi-IN"/>
        </w:rPr>
        <w:t xml:space="preserve">Snedecor G. W., Cochran W. G., </w:t>
      </w:r>
      <w:smartTag w:uri="urn:schemas-microsoft-com:office:smarttags" w:element="place">
        <w:smartTag w:uri="urn:schemas-microsoft-com:office:smarttags" w:element="PlaceName">
          <w:r w:rsidRPr="005F7F82">
            <w:rPr>
              <w:i/>
              <w:iCs/>
              <w:sz w:val="22"/>
              <w:szCs w:val="22"/>
              <w:lang w:bidi="hi-IN"/>
            </w:rPr>
            <w:t>Iowa</w:t>
          </w:r>
        </w:smartTag>
        <w:r w:rsidRPr="005F7F82">
          <w:rPr>
            <w:i/>
            <w:iCs/>
            <w:sz w:val="22"/>
            <w:szCs w:val="22"/>
            <w:lang w:bidi="hi-IN"/>
          </w:rPr>
          <w:t xml:space="preserve"> </w:t>
        </w:r>
        <w:smartTag w:uri="urn:schemas-microsoft-com:office:smarttags" w:element="PlaceType">
          <w:r w:rsidRPr="005F7F82">
            <w:rPr>
              <w:i/>
              <w:iCs/>
              <w:sz w:val="22"/>
              <w:szCs w:val="22"/>
              <w:lang w:bidi="hi-IN"/>
            </w:rPr>
            <w:t>State</w:t>
          </w:r>
        </w:smartTag>
      </w:smartTag>
      <w:r w:rsidRPr="005F7F82">
        <w:rPr>
          <w:i/>
          <w:iCs/>
          <w:sz w:val="22"/>
          <w:szCs w:val="22"/>
          <w:lang w:bidi="hi-IN"/>
        </w:rPr>
        <w:t xml:space="preserve"> Univ, Press. </w:t>
      </w:r>
      <w:smartTag w:uri="urn:schemas-microsoft-com:office:smarttags" w:element="place">
        <w:smartTag w:uri="urn:schemas-microsoft-com:office:smarttags" w:element="City">
          <w:r w:rsidRPr="005F7F82">
            <w:rPr>
              <w:i/>
              <w:iCs/>
              <w:sz w:val="22"/>
              <w:szCs w:val="22"/>
              <w:lang w:bidi="hi-IN"/>
            </w:rPr>
            <w:t>Ames</w:t>
          </w:r>
        </w:smartTag>
        <w:r w:rsidRPr="005F7F82">
          <w:rPr>
            <w:i/>
            <w:iCs/>
            <w:sz w:val="22"/>
            <w:szCs w:val="22"/>
            <w:lang w:bidi="hi-IN"/>
          </w:rPr>
          <w:t xml:space="preserve">, </w:t>
        </w:r>
        <w:smartTag w:uri="urn:schemas-microsoft-com:office:smarttags" w:element="State">
          <w:r w:rsidRPr="005F7F82">
            <w:rPr>
              <w:i/>
              <w:iCs/>
              <w:sz w:val="22"/>
              <w:szCs w:val="22"/>
              <w:lang w:bidi="hi-IN"/>
            </w:rPr>
            <w:t>Iowa</w:t>
          </w:r>
        </w:smartTag>
      </w:smartTag>
      <w:r w:rsidRPr="005F7F82">
        <w:rPr>
          <w:i/>
          <w:iCs/>
          <w:sz w:val="22"/>
          <w:szCs w:val="22"/>
          <w:lang w:bidi="hi-IN"/>
        </w:rPr>
        <w:t>, U.S.A</w:t>
      </w:r>
      <w:r w:rsidRPr="005F7F82">
        <w:rPr>
          <w:sz w:val="22"/>
          <w:szCs w:val="22"/>
          <w:lang w:bidi="hi-IN"/>
        </w:rPr>
        <w:t>, (1990)</w:t>
      </w:r>
    </w:p>
    <w:p w:rsidR="00B6707C" w:rsidRPr="004E1D51" w:rsidRDefault="00B6707C" w:rsidP="005F7F82">
      <w:pPr>
        <w:numPr>
          <w:ilvl w:val="0"/>
          <w:numId w:val="1"/>
        </w:numPr>
        <w:tabs>
          <w:tab w:val="clear" w:pos="720"/>
          <w:tab w:val="num" w:pos="426"/>
        </w:tabs>
        <w:ind w:left="426"/>
        <w:jc w:val="both"/>
        <w:rPr>
          <w:sz w:val="22"/>
          <w:szCs w:val="22"/>
          <w:lang w:val="fr-FR"/>
        </w:rPr>
      </w:pPr>
      <w:r w:rsidRPr="005F7F82">
        <w:rPr>
          <w:sz w:val="22"/>
          <w:szCs w:val="22"/>
          <w:lang w:val="fr-FR"/>
        </w:rPr>
        <w:t xml:space="preserve">Foucart T., </w:t>
      </w:r>
      <w:r w:rsidRPr="004E1D51">
        <w:rPr>
          <w:i/>
          <w:iCs/>
          <w:sz w:val="22"/>
          <w:szCs w:val="22"/>
          <w:lang w:val="fr-FR"/>
        </w:rPr>
        <w:t>Masson, ITCF, Paris</w:t>
      </w:r>
      <w:r w:rsidRPr="004E1D51">
        <w:rPr>
          <w:sz w:val="22"/>
          <w:szCs w:val="22"/>
          <w:lang w:val="fr-FR"/>
        </w:rPr>
        <w:t>, (</w:t>
      </w:r>
      <w:r w:rsidRPr="005F7F82">
        <w:rPr>
          <w:sz w:val="22"/>
          <w:szCs w:val="22"/>
          <w:lang w:val="fr-FR"/>
        </w:rPr>
        <w:t>1982</w:t>
      </w:r>
      <w:r w:rsidRPr="004E1D51">
        <w:rPr>
          <w:sz w:val="22"/>
          <w:szCs w:val="22"/>
          <w:lang w:val="fr-FR"/>
        </w:rPr>
        <w:t>)</w:t>
      </w:r>
      <w:r w:rsidRPr="005F7F82">
        <w:rPr>
          <w:sz w:val="22"/>
          <w:szCs w:val="22"/>
          <w:lang w:val="fr-FR"/>
        </w:rPr>
        <w:t>.</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Balibrea M. E., Dell’ Amico J., Bolarín M. C. F., Alfocea P., </w:t>
      </w:r>
      <w:r w:rsidRPr="005F7F82">
        <w:rPr>
          <w:i/>
          <w:iCs/>
          <w:sz w:val="22"/>
          <w:szCs w:val="22"/>
        </w:rPr>
        <w:t>Phy. Plant</w:t>
      </w:r>
      <w:r w:rsidRPr="005F7F82">
        <w:rPr>
          <w:sz w:val="22"/>
          <w:szCs w:val="22"/>
        </w:rPr>
        <w:t>.,</w:t>
      </w:r>
      <w:r w:rsidRPr="005F7F82">
        <w:rPr>
          <w:i/>
          <w:iCs/>
          <w:sz w:val="22"/>
          <w:szCs w:val="22"/>
        </w:rPr>
        <w:t xml:space="preserve"> </w:t>
      </w:r>
      <w:r w:rsidRPr="005F7F82">
        <w:rPr>
          <w:sz w:val="22"/>
          <w:szCs w:val="22"/>
        </w:rPr>
        <w:t>110 (2000) 503-511.</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Yeo A. R., </w:t>
      </w:r>
      <w:r w:rsidRPr="005F7F82">
        <w:rPr>
          <w:i/>
          <w:iCs/>
          <w:sz w:val="22"/>
          <w:szCs w:val="22"/>
        </w:rPr>
        <w:t>Phys. Planta</w:t>
      </w:r>
      <w:r w:rsidRPr="005F7F82">
        <w:rPr>
          <w:sz w:val="22"/>
          <w:szCs w:val="22"/>
        </w:rPr>
        <w:t>., 58 (1983) 214-222.</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Greenway H., Munns R., </w:t>
      </w:r>
      <w:r w:rsidRPr="005F7F82">
        <w:rPr>
          <w:i/>
          <w:iCs/>
          <w:sz w:val="22"/>
          <w:szCs w:val="22"/>
        </w:rPr>
        <w:t>Plant Phys</w:t>
      </w:r>
      <w:r w:rsidRPr="005F7F82">
        <w:rPr>
          <w:sz w:val="22"/>
          <w:szCs w:val="22"/>
        </w:rPr>
        <w:t>., 31 (1980) 149-190.</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Hu Y., </w:t>
      </w:r>
      <w:smartTag w:uri="urn:schemas-microsoft-com:office:smarttags" w:element="place">
        <w:smartTag w:uri="urn:schemas-microsoft-com:office:smarttags" w:element="PlaceName">
          <w:r w:rsidRPr="005F7F82">
            <w:rPr>
              <w:sz w:val="22"/>
              <w:szCs w:val="22"/>
            </w:rPr>
            <w:t>Schmidhalter</w:t>
          </w:r>
        </w:smartTag>
        <w:r w:rsidRPr="005F7F82">
          <w:rPr>
            <w:sz w:val="22"/>
            <w:szCs w:val="22"/>
          </w:rPr>
          <w:t xml:space="preserve"> </w:t>
        </w:r>
        <w:smartTag w:uri="urn:schemas-microsoft-com:office:smarttags" w:element="PlaceType">
          <w:r w:rsidRPr="005F7F82">
            <w:rPr>
              <w:sz w:val="22"/>
              <w:szCs w:val="22"/>
            </w:rPr>
            <w:t>U.</w:t>
          </w:r>
        </w:smartTag>
      </w:smartTag>
      <w:r w:rsidRPr="005F7F82">
        <w:rPr>
          <w:sz w:val="22"/>
          <w:szCs w:val="22"/>
        </w:rPr>
        <w:t xml:space="preserve">, </w:t>
      </w:r>
      <w:r w:rsidRPr="005F7F82">
        <w:rPr>
          <w:i/>
          <w:iCs/>
          <w:sz w:val="22"/>
          <w:szCs w:val="22"/>
        </w:rPr>
        <w:t>Aust. J. Plant Phys</w:t>
      </w:r>
      <w:r w:rsidRPr="005F7F82">
        <w:rPr>
          <w:sz w:val="22"/>
          <w:szCs w:val="22"/>
        </w:rPr>
        <w:t>., 25 (1998) 591-597.</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rPr>
        <w:t xml:space="preserve">Burbott A. J., Loomis D., </w:t>
      </w:r>
      <w:r w:rsidRPr="005F7F82">
        <w:rPr>
          <w:i/>
          <w:iCs/>
          <w:sz w:val="22"/>
          <w:szCs w:val="22"/>
        </w:rPr>
        <w:t>Plant Phys</w:t>
      </w:r>
      <w:r w:rsidRPr="005F7F82">
        <w:rPr>
          <w:sz w:val="22"/>
          <w:szCs w:val="22"/>
        </w:rPr>
        <w:t>., 44 (1969) 173-179.</w:t>
      </w:r>
    </w:p>
    <w:p w:rsidR="00B6707C" w:rsidRPr="004E1D51" w:rsidRDefault="00B6707C" w:rsidP="005F7F82">
      <w:pPr>
        <w:numPr>
          <w:ilvl w:val="0"/>
          <w:numId w:val="1"/>
        </w:numPr>
        <w:tabs>
          <w:tab w:val="clear" w:pos="720"/>
          <w:tab w:val="num" w:pos="426"/>
        </w:tabs>
        <w:ind w:left="426"/>
        <w:jc w:val="both"/>
        <w:rPr>
          <w:sz w:val="22"/>
          <w:szCs w:val="22"/>
          <w:lang w:val="fr-FR"/>
        </w:rPr>
      </w:pPr>
      <w:r w:rsidRPr="005F7F82">
        <w:rPr>
          <w:sz w:val="22"/>
          <w:szCs w:val="22"/>
          <w:lang w:val="it-IT"/>
        </w:rPr>
        <w:t xml:space="preserve">Blum A.,  Ebercon A., </w:t>
      </w:r>
      <w:r w:rsidRPr="004E1D51">
        <w:rPr>
          <w:i/>
          <w:iCs/>
          <w:sz w:val="22"/>
          <w:szCs w:val="22"/>
          <w:lang w:val="fr-FR"/>
        </w:rPr>
        <w:t>Crop Sci</w:t>
      </w:r>
      <w:r w:rsidRPr="004E1D51">
        <w:rPr>
          <w:sz w:val="22"/>
          <w:szCs w:val="22"/>
          <w:lang w:val="fr-FR"/>
        </w:rPr>
        <w:t>., 16 (</w:t>
      </w:r>
      <w:r w:rsidRPr="005F7F82">
        <w:rPr>
          <w:sz w:val="22"/>
          <w:szCs w:val="22"/>
          <w:lang w:val="it-IT"/>
        </w:rPr>
        <w:t>1976</w:t>
      </w:r>
      <w:r w:rsidRPr="004E1D51">
        <w:rPr>
          <w:sz w:val="22"/>
          <w:szCs w:val="22"/>
          <w:lang w:val="fr-FR"/>
        </w:rPr>
        <w:t xml:space="preserve">) 379-386.   </w:t>
      </w:r>
    </w:p>
    <w:p w:rsidR="00B6707C" w:rsidRPr="005F7F82" w:rsidRDefault="00B6707C" w:rsidP="005F7F82">
      <w:pPr>
        <w:numPr>
          <w:ilvl w:val="0"/>
          <w:numId w:val="1"/>
        </w:numPr>
        <w:tabs>
          <w:tab w:val="clear" w:pos="720"/>
          <w:tab w:val="num" w:pos="426"/>
        </w:tabs>
        <w:ind w:left="426"/>
        <w:jc w:val="both"/>
        <w:rPr>
          <w:sz w:val="22"/>
          <w:szCs w:val="22"/>
        </w:rPr>
      </w:pPr>
      <w:r w:rsidRPr="005F7F82">
        <w:rPr>
          <w:sz w:val="22"/>
          <w:szCs w:val="22"/>
          <w:lang w:val="pt-BR"/>
        </w:rPr>
        <w:t xml:space="preserve">Osorio J., Osorio M.L., Chaves M., Pereira J. S., </w:t>
      </w:r>
      <w:r w:rsidRPr="005F7F82">
        <w:rPr>
          <w:i/>
          <w:iCs/>
          <w:sz w:val="22"/>
          <w:szCs w:val="22"/>
          <w:lang w:val="it-IT"/>
        </w:rPr>
        <w:t>T</w:t>
      </w:r>
      <w:r w:rsidRPr="005F7F82">
        <w:rPr>
          <w:i/>
          <w:iCs/>
          <w:sz w:val="22"/>
          <w:szCs w:val="22"/>
          <w:lang w:val="it-IT" w:eastAsia="ja-JP"/>
        </w:rPr>
        <w:t>r</w:t>
      </w:r>
      <w:r w:rsidRPr="005F7F82">
        <w:rPr>
          <w:i/>
          <w:iCs/>
          <w:sz w:val="22"/>
          <w:szCs w:val="22"/>
          <w:lang w:val="it-IT"/>
        </w:rPr>
        <w:t>ee  Phys</w:t>
      </w:r>
      <w:r w:rsidRPr="005F7F82">
        <w:rPr>
          <w:sz w:val="22"/>
          <w:szCs w:val="22"/>
          <w:lang w:val="it-IT" w:eastAsia="ja-JP"/>
        </w:rPr>
        <w:t>.,</w:t>
      </w:r>
      <w:r w:rsidRPr="005F7F82">
        <w:rPr>
          <w:sz w:val="22"/>
          <w:szCs w:val="22"/>
          <w:lang w:val="it-IT"/>
        </w:rPr>
        <w:t xml:space="preserve"> 18 (</w:t>
      </w:r>
      <w:r w:rsidRPr="005F7F82">
        <w:rPr>
          <w:sz w:val="22"/>
          <w:szCs w:val="22"/>
          <w:lang w:val="pt-BR"/>
        </w:rPr>
        <w:t>1998</w:t>
      </w:r>
      <w:r w:rsidRPr="005F7F82">
        <w:rPr>
          <w:sz w:val="22"/>
          <w:szCs w:val="22"/>
          <w:lang w:val="it-IT"/>
        </w:rPr>
        <w:t>) 363-373.</w:t>
      </w:r>
    </w:p>
    <w:p w:rsidR="00B6707C" w:rsidRPr="005F7F82" w:rsidRDefault="00B6707C" w:rsidP="005F7F82">
      <w:pPr>
        <w:numPr>
          <w:ilvl w:val="0"/>
          <w:numId w:val="1"/>
        </w:numPr>
        <w:tabs>
          <w:tab w:val="clear" w:pos="720"/>
          <w:tab w:val="num" w:pos="426"/>
        </w:tabs>
        <w:ind w:left="426"/>
        <w:jc w:val="both"/>
        <w:rPr>
          <w:sz w:val="22"/>
          <w:szCs w:val="22"/>
        </w:rPr>
      </w:pPr>
      <w:r w:rsidRPr="005F7F82">
        <w:rPr>
          <w:rFonts w:eastAsia="Times New Roman"/>
          <w:sz w:val="22"/>
          <w:szCs w:val="22"/>
        </w:rPr>
        <w:t xml:space="preserve">Khalid K. A., </w:t>
      </w:r>
      <w:r w:rsidRPr="005F7F82">
        <w:rPr>
          <w:rFonts w:eastAsia="Times New Roman"/>
          <w:i/>
          <w:iCs/>
          <w:sz w:val="22"/>
          <w:szCs w:val="22"/>
        </w:rPr>
        <w:t>Int. Agrophys</w:t>
      </w:r>
      <w:r w:rsidRPr="005F7F82">
        <w:rPr>
          <w:rFonts w:eastAsia="Times New Roman"/>
          <w:sz w:val="22"/>
          <w:szCs w:val="22"/>
        </w:rPr>
        <w:t>., 20 (2006) 289 - 296.</w:t>
      </w:r>
    </w:p>
    <w:p w:rsidR="00B6707C" w:rsidRPr="005F7F82" w:rsidRDefault="00B6707C" w:rsidP="005F7F82">
      <w:pPr>
        <w:numPr>
          <w:ilvl w:val="0"/>
          <w:numId w:val="1"/>
        </w:numPr>
        <w:tabs>
          <w:tab w:val="clear" w:pos="720"/>
          <w:tab w:val="num" w:pos="426"/>
        </w:tabs>
        <w:ind w:left="426"/>
        <w:jc w:val="both"/>
        <w:rPr>
          <w:sz w:val="22"/>
          <w:szCs w:val="22"/>
        </w:rPr>
      </w:pPr>
      <w:r w:rsidRPr="005F7F82">
        <w:rPr>
          <w:rFonts w:eastAsia="Times New Roman"/>
          <w:sz w:val="22"/>
          <w:szCs w:val="22"/>
        </w:rPr>
        <w:t>Khalid A.K.</w:t>
      </w:r>
      <w:r w:rsidRPr="005F7F82">
        <w:rPr>
          <w:rFonts w:eastAsia="MS Mincho"/>
          <w:sz w:val="22"/>
          <w:szCs w:val="22"/>
        </w:rPr>
        <w:t>, Teixeira da Silva J.,</w:t>
      </w:r>
      <w:r w:rsidRPr="005F7F82">
        <w:rPr>
          <w:rFonts w:eastAsia="Times New Roman"/>
          <w:sz w:val="22"/>
          <w:szCs w:val="22"/>
        </w:rPr>
        <w:t xml:space="preserve"> Cai W., </w:t>
      </w:r>
      <w:r w:rsidRPr="005F7F82">
        <w:rPr>
          <w:rFonts w:eastAsia="Times New Roman"/>
          <w:i/>
          <w:iCs/>
          <w:sz w:val="22"/>
          <w:szCs w:val="22"/>
        </w:rPr>
        <w:t>Scientia Hort</w:t>
      </w:r>
      <w:r w:rsidRPr="005F7F82">
        <w:rPr>
          <w:rFonts w:eastAsia="Times New Roman"/>
          <w:sz w:val="22"/>
          <w:szCs w:val="22"/>
        </w:rPr>
        <w:t xml:space="preserve">., 125 (2010) 159–166. </w:t>
      </w:r>
    </w:p>
    <w:p w:rsidR="00B6707C" w:rsidRPr="005F7F82" w:rsidRDefault="00B6707C" w:rsidP="005F7F82">
      <w:pPr>
        <w:numPr>
          <w:ilvl w:val="0"/>
          <w:numId w:val="1"/>
        </w:numPr>
        <w:tabs>
          <w:tab w:val="clear" w:pos="720"/>
          <w:tab w:val="num" w:pos="426"/>
        </w:tabs>
        <w:ind w:left="426"/>
        <w:jc w:val="both"/>
        <w:rPr>
          <w:sz w:val="22"/>
          <w:szCs w:val="22"/>
        </w:rPr>
      </w:pPr>
      <w:r w:rsidRPr="005F7F82">
        <w:rPr>
          <w:rFonts w:eastAsia="Times New Roman"/>
          <w:sz w:val="22"/>
          <w:szCs w:val="22"/>
        </w:rPr>
        <w:t>Khalid A.K,</w:t>
      </w:r>
      <w:r w:rsidRPr="005F7F82">
        <w:rPr>
          <w:rFonts w:eastAsia="MS Mincho"/>
          <w:sz w:val="22"/>
          <w:szCs w:val="22"/>
        </w:rPr>
        <w:t xml:space="preserve"> Teixeira da Silva J.,</w:t>
      </w:r>
      <w:r w:rsidRPr="005F7F82">
        <w:rPr>
          <w:rFonts w:eastAsia="Times New Roman"/>
          <w:sz w:val="22"/>
          <w:szCs w:val="22"/>
        </w:rPr>
        <w:t xml:space="preserve"> </w:t>
      </w:r>
      <w:r w:rsidRPr="005F7F82">
        <w:rPr>
          <w:rFonts w:eastAsia="Times New Roman"/>
          <w:i/>
          <w:iCs/>
          <w:sz w:val="22"/>
          <w:szCs w:val="22"/>
        </w:rPr>
        <w:t>Scientia Hort</w:t>
      </w:r>
      <w:r w:rsidRPr="005F7F82">
        <w:rPr>
          <w:rFonts w:eastAsia="Times New Roman"/>
          <w:sz w:val="22"/>
          <w:szCs w:val="22"/>
        </w:rPr>
        <w:t xml:space="preserve">., 126 (2010) 297–305. </w:t>
      </w:r>
    </w:p>
    <w:p w:rsidR="00C222D9" w:rsidRPr="00C222D9" w:rsidRDefault="00B6707C" w:rsidP="004E1D51">
      <w:pPr>
        <w:numPr>
          <w:ilvl w:val="0"/>
          <w:numId w:val="1"/>
        </w:numPr>
        <w:tabs>
          <w:tab w:val="clear" w:pos="720"/>
          <w:tab w:val="num" w:pos="426"/>
        </w:tabs>
        <w:ind w:left="426"/>
        <w:jc w:val="both"/>
        <w:rPr>
          <w:sz w:val="22"/>
          <w:szCs w:val="22"/>
        </w:rPr>
      </w:pPr>
      <w:r w:rsidRPr="005F7F82">
        <w:rPr>
          <w:rFonts w:eastAsia="Times New Roman"/>
          <w:sz w:val="22"/>
          <w:szCs w:val="22"/>
        </w:rPr>
        <w:t>Khalid A.K.,</w:t>
      </w:r>
      <w:r w:rsidRPr="005F7F82">
        <w:rPr>
          <w:rFonts w:eastAsia="Times New Roman"/>
          <w:sz w:val="22"/>
          <w:szCs w:val="22"/>
          <w:vertAlign w:val="superscript"/>
        </w:rPr>
        <w:t xml:space="preserve"> </w:t>
      </w:r>
      <w:r w:rsidRPr="005F7F82">
        <w:rPr>
          <w:rFonts w:eastAsia="Times New Roman"/>
          <w:sz w:val="22"/>
          <w:szCs w:val="22"/>
        </w:rPr>
        <w:t>Shedeed M.R</w:t>
      </w:r>
      <w:r w:rsidRPr="005F7F82">
        <w:rPr>
          <w:rFonts w:eastAsia="Times New Roman"/>
          <w:caps/>
          <w:sz w:val="22"/>
          <w:szCs w:val="22"/>
        </w:rPr>
        <w:t>.,</w:t>
      </w:r>
      <w:r w:rsidRPr="005F7F82">
        <w:rPr>
          <w:rFonts w:eastAsia="Times New Roman"/>
          <w:sz w:val="22"/>
          <w:szCs w:val="22"/>
        </w:rPr>
        <w:t xml:space="preserve"> Thai J. Agric. Sci., 47 (2014) 195-203</w:t>
      </w:r>
      <w:r w:rsidR="00C222D9">
        <w:rPr>
          <w:rFonts w:eastAsia="Times New Roman"/>
          <w:sz w:val="22"/>
          <w:szCs w:val="22"/>
        </w:rPr>
        <w:t>.</w:t>
      </w:r>
    </w:p>
    <w:p w:rsidR="00C222D9" w:rsidRPr="001A4434" w:rsidRDefault="008E382B" w:rsidP="00C222D9">
      <w:pPr>
        <w:numPr>
          <w:ilvl w:val="0"/>
          <w:numId w:val="1"/>
        </w:numPr>
        <w:tabs>
          <w:tab w:val="clear" w:pos="720"/>
          <w:tab w:val="num" w:pos="426"/>
        </w:tabs>
        <w:ind w:left="426"/>
        <w:jc w:val="both"/>
        <w:rPr>
          <w:sz w:val="22"/>
          <w:szCs w:val="22"/>
        </w:rPr>
      </w:pPr>
      <w:hyperlink r:id="rId25" w:history="1">
        <w:r w:rsidR="00C222D9" w:rsidRPr="001A4434">
          <w:rPr>
            <w:rStyle w:val="Lienhypertexte"/>
            <w:color w:val="auto"/>
            <w:sz w:val="22"/>
            <w:szCs w:val="22"/>
            <w:u w:val="none"/>
            <w:bdr w:val="none" w:sz="0" w:space="0" w:color="auto" w:frame="1"/>
          </w:rPr>
          <w:t>Chengyuan Liang</w:t>
        </w:r>
      </w:hyperlink>
      <w:r w:rsidR="00C222D9" w:rsidRPr="001A4434">
        <w:rPr>
          <w:sz w:val="22"/>
          <w:szCs w:val="22"/>
        </w:rPr>
        <w:t xml:space="preserve"> </w:t>
      </w:r>
      <w:r w:rsidR="00C222D9" w:rsidRPr="001A4434">
        <w:rPr>
          <w:sz w:val="22"/>
          <w:szCs w:val="22"/>
          <w:bdr w:val="none" w:sz="0" w:space="0" w:color="auto" w:frame="1"/>
        </w:rPr>
        <w:t>X. Y.</w:t>
      </w:r>
      <w:r w:rsidR="00C222D9" w:rsidRPr="001A4434">
        <w:rPr>
          <w:sz w:val="22"/>
          <w:szCs w:val="22"/>
        </w:rPr>
        <w:t>,</w:t>
      </w:r>
      <w:r w:rsidR="00C222D9" w:rsidRPr="001A4434">
        <w:rPr>
          <w:rStyle w:val="apple-converted-space"/>
          <w:sz w:val="22"/>
          <w:szCs w:val="22"/>
        </w:rPr>
        <w:t> </w:t>
      </w:r>
      <w:r w:rsidR="00C222D9" w:rsidRPr="001A4434">
        <w:rPr>
          <w:sz w:val="22"/>
          <w:szCs w:val="22"/>
        </w:rPr>
        <w:t xml:space="preserve"> </w:t>
      </w:r>
      <w:hyperlink r:id="rId26" w:anchor="cor0005" w:tooltip="Corresponding author contact information" w:history="1"/>
      <w:hyperlink r:id="rId27" w:tooltip="E-mail the corresponding author" w:history="1"/>
      <w:r w:rsidR="00C222D9" w:rsidRPr="001A4434">
        <w:rPr>
          <w:rStyle w:val="apple-converted-space"/>
          <w:sz w:val="22"/>
          <w:szCs w:val="22"/>
        </w:rPr>
        <w:t> </w:t>
      </w:r>
      <w:hyperlink r:id="rId28" w:history="1">
        <w:r w:rsidR="00C222D9" w:rsidRPr="001A4434">
          <w:rPr>
            <w:rStyle w:val="Lienhypertexte"/>
            <w:color w:val="auto"/>
            <w:sz w:val="22"/>
            <w:szCs w:val="22"/>
            <w:u w:val="none"/>
            <w:bdr w:val="none" w:sz="0" w:space="0" w:color="auto" w:frame="1"/>
          </w:rPr>
          <w:t>Chen</w:t>
        </w:r>
      </w:hyperlink>
      <w:r w:rsidR="00C222D9" w:rsidRPr="001A4434">
        <w:rPr>
          <w:sz w:val="22"/>
          <w:szCs w:val="22"/>
        </w:rPr>
        <w:t xml:space="preserve"> J.,</w:t>
      </w:r>
      <w:r w:rsidR="00C222D9" w:rsidRPr="001A4434">
        <w:rPr>
          <w:rStyle w:val="apple-converted-space"/>
          <w:sz w:val="22"/>
          <w:szCs w:val="22"/>
        </w:rPr>
        <w:t> </w:t>
      </w:r>
      <w:hyperlink r:id="rId29" w:history="1">
        <w:r w:rsidR="00C222D9" w:rsidRPr="001A4434">
          <w:rPr>
            <w:rStyle w:val="Lienhypertexte"/>
            <w:color w:val="auto"/>
            <w:sz w:val="22"/>
            <w:szCs w:val="22"/>
            <w:u w:val="none"/>
            <w:bdr w:val="none" w:sz="0" w:space="0" w:color="auto" w:frame="1"/>
          </w:rPr>
          <w:t xml:space="preserve"> Qi</w:t>
        </w:r>
      </w:hyperlink>
      <w:r w:rsidR="00C222D9" w:rsidRPr="001A4434">
        <w:rPr>
          <w:sz w:val="22"/>
          <w:szCs w:val="22"/>
        </w:rPr>
        <w:t xml:space="preserve"> X.,</w:t>
      </w:r>
      <w:r w:rsidR="00C222D9" w:rsidRPr="001A4434">
        <w:rPr>
          <w:rStyle w:val="apple-converted-space"/>
          <w:sz w:val="22"/>
          <w:szCs w:val="22"/>
        </w:rPr>
        <w:t> </w:t>
      </w:r>
      <w:hyperlink r:id="rId30" w:history="1">
        <w:r w:rsidR="00C222D9" w:rsidRPr="001A4434">
          <w:rPr>
            <w:rStyle w:val="Lienhypertexte"/>
            <w:color w:val="auto"/>
            <w:sz w:val="22"/>
            <w:szCs w:val="22"/>
            <w:u w:val="none"/>
            <w:bdr w:val="none" w:sz="0" w:space="0" w:color="auto" w:frame="1"/>
          </w:rPr>
          <w:t xml:space="preserve"> Liu</w:t>
        </w:r>
      </w:hyperlink>
      <w:r w:rsidR="00C222D9" w:rsidRPr="001A4434">
        <w:rPr>
          <w:sz w:val="22"/>
          <w:szCs w:val="22"/>
        </w:rPr>
        <w:t xml:space="preserve"> Y.,</w:t>
      </w:r>
      <w:r w:rsidR="00C222D9" w:rsidRPr="001A4434">
        <w:rPr>
          <w:rStyle w:val="apple-converted-space"/>
          <w:sz w:val="22"/>
          <w:szCs w:val="22"/>
        </w:rPr>
        <w:t> </w:t>
      </w:r>
      <w:hyperlink r:id="rId31" w:history="1">
        <w:r w:rsidR="00C222D9" w:rsidRPr="001A4434">
          <w:rPr>
            <w:rStyle w:val="Lienhypertexte"/>
            <w:color w:val="auto"/>
            <w:sz w:val="22"/>
            <w:szCs w:val="22"/>
            <w:u w:val="none"/>
            <w:bdr w:val="none" w:sz="0" w:space="0" w:color="auto" w:frame="1"/>
          </w:rPr>
          <w:t xml:space="preserve"> Li</w:t>
        </w:r>
      </w:hyperlink>
      <w:r w:rsidR="00C222D9" w:rsidRPr="001A4434">
        <w:rPr>
          <w:sz w:val="22"/>
          <w:szCs w:val="22"/>
        </w:rPr>
        <w:t xml:space="preserve"> W., </w:t>
      </w:r>
      <w:r w:rsidR="00C222D9" w:rsidRPr="001A4434">
        <w:rPr>
          <w:i/>
          <w:iCs/>
          <w:sz w:val="22"/>
          <w:szCs w:val="22"/>
          <w:bdr w:val="none" w:sz="0" w:space="0" w:color="auto" w:frame="1"/>
        </w:rPr>
        <w:t>Scientia Hort</w:t>
      </w:r>
      <w:r w:rsidR="00C222D9" w:rsidRPr="001A4434">
        <w:rPr>
          <w:sz w:val="22"/>
          <w:szCs w:val="22"/>
          <w:bdr w:val="none" w:sz="0" w:space="0" w:color="auto" w:frame="1"/>
        </w:rPr>
        <w:t xml:space="preserve">., </w:t>
      </w:r>
      <w:hyperlink r:id="rId32" w:tooltip="Go to table of contents for this volume/issue" w:history="1">
        <w:r w:rsidR="00C222D9" w:rsidRPr="001A4434">
          <w:rPr>
            <w:rStyle w:val="Lienhypertexte"/>
            <w:color w:val="auto"/>
            <w:sz w:val="22"/>
            <w:szCs w:val="22"/>
            <w:u w:val="none"/>
            <w:bdr w:val="none" w:sz="0" w:space="0" w:color="auto" w:frame="1"/>
          </w:rPr>
          <w:t>197</w:t>
        </w:r>
      </w:hyperlink>
      <w:r w:rsidR="00C222D9" w:rsidRPr="001A4434">
        <w:rPr>
          <w:sz w:val="22"/>
          <w:szCs w:val="22"/>
        </w:rPr>
        <w:t>, 14 (2015) 579–583</w:t>
      </w:r>
    </w:p>
    <w:p w:rsidR="00C222D9" w:rsidRPr="001A4434" w:rsidRDefault="00C222D9" w:rsidP="00C222D9">
      <w:pPr>
        <w:numPr>
          <w:ilvl w:val="0"/>
          <w:numId w:val="1"/>
        </w:numPr>
        <w:tabs>
          <w:tab w:val="clear" w:pos="720"/>
          <w:tab w:val="num" w:pos="426"/>
        </w:tabs>
        <w:ind w:left="426"/>
        <w:jc w:val="both"/>
        <w:rPr>
          <w:sz w:val="22"/>
          <w:szCs w:val="22"/>
        </w:rPr>
      </w:pPr>
      <w:r w:rsidRPr="001A4434">
        <w:rPr>
          <w:sz w:val="22"/>
          <w:szCs w:val="22"/>
        </w:rPr>
        <w:t xml:space="preserve">Bekhradi F., Delshad M., Marín A., Luna M.C., Garrido Y., Kashi A.,  Babalar M., Gil M.,. </w:t>
      </w:r>
      <w:r w:rsidRPr="001A4434">
        <w:rPr>
          <w:i/>
          <w:iCs/>
          <w:sz w:val="22"/>
          <w:szCs w:val="22"/>
        </w:rPr>
        <w:t>Hortic. Environ. Biotechnol</w:t>
      </w:r>
      <w:r w:rsidRPr="001A4434">
        <w:rPr>
          <w:sz w:val="22"/>
          <w:szCs w:val="22"/>
        </w:rPr>
        <w:t>. 56 (2015) 777-785.</w:t>
      </w:r>
    </w:p>
    <w:p w:rsidR="00C222D9" w:rsidRPr="001A4434" w:rsidRDefault="00C222D9" w:rsidP="004E1D51">
      <w:pPr>
        <w:numPr>
          <w:ilvl w:val="0"/>
          <w:numId w:val="1"/>
        </w:numPr>
        <w:tabs>
          <w:tab w:val="clear" w:pos="720"/>
          <w:tab w:val="num" w:pos="426"/>
        </w:tabs>
        <w:ind w:left="426"/>
        <w:jc w:val="both"/>
        <w:rPr>
          <w:sz w:val="22"/>
          <w:szCs w:val="22"/>
        </w:rPr>
      </w:pPr>
      <w:r w:rsidRPr="001A4434">
        <w:rPr>
          <w:sz w:val="22"/>
          <w:szCs w:val="22"/>
        </w:rPr>
        <w:t>Stavridou E., Hastings A</w:t>
      </w:r>
      <w:r w:rsidR="004E1D51">
        <w:rPr>
          <w:sz w:val="22"/>
          <w:szCs w:val="22"/>
        </w:rPr>
        <w:t>.</w:t>
      </w:r>
      <w:r w:rsidRPr="001A4434">
        <w:rPr>
          <w:sz w:val="22"/>
          <w:szCs w:val="22"/>
        </w:rPr>
        <w:t xml:space="preserve">, Richard J., Webster J., </w:t>
      </w:r>
      <w:smartTag w:uri="urn:schemas-microsoft-com:office:smarttags" w:element="place">
        <w:smartTag w:uri="urn:schemas-microsoft-com:office:smarttags" w:element="City">
          <w:r w:rsidRPr="001A4434">
            <w:rPr>
              <w:sz w:val="22"/>
              <w:szCs w:val="22"/>
            </w:rPr>
            <w:t>Pau</w:t>
          </w:r>
        </w:smartTag>
      </w:smartTag>
      <w:r w:rsidRPr="001A4434">
        <w:rPr>
          <w:sz w:val="22"/>
          <w:szCs w:val="22"/>
        </w:rPr>
        <w:t xml:space="preserve"> R., Robsoni H., </w:t>
      </w:r>
      <w:r w:rsidRPr="001A4434">
        <w:rPr>
          <w:i/>
          <w:iCs/>
          <w:sz w:val="22"/>
          <w:szCs w:val="22"/>
        </w:rPr>
        <w:t xml:space="preserve"> GCB Bioenergy</w:t>
      </w:r>
      <w:r w:rsidR="004E1D51">
        <w:rPr>
          <w:i/>
          <w:iCs/>
          <w:sz w:val="22"/>
          <w:szCs w:val="22"/>
        </w:rPr>
        <w:t xml:space="preserve">, </w:t>
      </w:r>
      <w:r w:rsidRPr="001A4434">
        <w:rPr>
          <w:sz w:val="22"/>
          <w:szCs w:val="22"/>
        </w:rPr>
        <w:t xml:space="preserve"> 2 (2016) 1-13.</w:t>
      </w:r>
    </w:p>
    <w:p w:rsidR="00C222D9" w:rsidRPr="001A4434" w:rsidRDefault="00C222D9" w:rsidP="00ED692B">
      <w:pPr>
        <w:ind w:right="720"/>
        <w:rPr>
          <w:sz w:val="22"/>
          <w:szCs w:val="22"/>
        </w:rPr>
      </w:pPr>
    </w:p>
    <w:p w:rsidR="00C222D9" w:rsidRDefault="00C222D9" w:rsidP="00ED692B">
      <w:pPr>
        <w:ind w:right="720"/>
        <w:rPr>
          <w:sz w:val="32"/>
          <w:szCs w:val="32"/>
        </w:rPr>
      </w:pPr>
    </w:p>
    <w:p w:rsidR="004E1D51" w:rsidRDefault="004E1D51" w:rsidP="00ED692B">
      <w:pPr>
        <w:ind w:right="720"/>
        <w:rPr>
          <w:sz w:val="32"/>
          <w:szCs w:val="32"/>
        </w:rPr>
      </w:pPr>
    </w:p>
    <w:p w:rsidR="00455FCE" w:rsidRPr="00ED692B" w:rsidRDefault="00455FCE" w:rsidP="00ED692B">
      <w:pPr>
        <w:ind w:right="720"/>
        <w:rPr>
          <w:sz w:val="32"/>
          <w:szCs w:val="32"/>
        </w:rPr>
      </w:pPr>
      <w:r w:rsidRPr="005F7F82">
        <w:rPr>
          <w:sz w:val="32"/>
          <w:szCs w:val="32"/>
        </w:rPr>
        <w:t xml:space="preserve">(2016) ; </w:t>
      </w:r>
      <w:hyperlink r:id="rId33" w:history="1">
        <w:r w:rsidRPr="005F7F82">
          <w:rPr>
            <w:rStyle w:val="Lienhypertexte"/>
            <w:sz w:val="32"/>
            <w:szCs w:val="32"/>
          </w:rPr>
          <w:t>http://www.jmaterenvironsci.com/</w:t>
        </w:r>
      </w:hyperlink>
    </w:p>
    <w:sectPr w:rsidR="00455FCE" w:rsidRPr="00ED692B" w:rsidSect="004E1D51">
      <w:headerReference w:type="default" r:id="rId34"/>
      <w:footerReference w:type="default" r:id="rId35"/>
      <w:pgSz w:w="12240" w:h="15840"/>
      <w:pgMar w:top="1296" w:right="1041" w:bottom="993" w:left="1276"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1E7" w:rsidRDefault="007501E7">
      <w:r>
        <w:separator/>
      </w:r>
    </w:p>
  </w:endnote>
  <w:endnote w:type="continuationSeparator" w:id="1">
    <w:p w:rsidR="007501E7" w:rsidRDefault="00750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7C" w:rsidRDefault="008E382B">
    <w:pPr>
      <w:pStyle w:val="Pieddepage"/>
    </w:pPr>
    <w:r w:rsidRPr="008E382B">
      <w:pict>
        <v:shapetype id="_x0000_t202" coordsize="21600,21600" o:spt="202" path="m,l,21600r21600,l21600,xe">
          <v:stroke joinstyle="miter"/>
          <v:path gradientshapeok="t" o:connecttype="rect"/>
        </v:shapetype>
        <v:shape id="Text Box2" o:spid="_x0000_s2049" type="#_x0000_t202" style="position:absolute;margin-left:0;margin-top:0;width:9.05pt;height:10.35pt;z-index:251657728;mso-wrap-style:none;mso-position-horizontal:center;mso-position-horizontal-relative:margin" filled="f" stroked="f">
          <v:textbox style="mso-fit-shape-to-text:t" inset="0,0,0,0">
            <w:txbxContent>
              <w:p w:rsidR="00B6707C" w:rsidRDefault="008E382B">
                <w:pPr>
                  <w:snapToGrid w:val="0"/>
                  <w:rPr>
                    <w:sz w:val="18"/>
                  </w:rPr>
                </w:pPr>
                <w:r>
                  <w:rPr>
                    <w:sz w:val="18"/>
                  </w:rPr>
                  <w:fldChar w:fldCharType="begin"/>
                </w:r>
                <w:r w:rsidR="00B6707C">
                  <w:rPr>
                    <w:sz w:val="18"/>
                  </w:rPr>
                  <w:instrText xml:space="preserve"> PAGE  \* MERGEFORMAT </w:instrText>
                </w:r>
                <w:r>
                  <w:rPr>
                    <w:sz w:val="18"/>
                  </w:rPr>
                  <w:fldChar w:fldCharType="separate"/>
                </w:r>
                <w:r w:rsidR="002C798E" w:rsidRPr="002C798E">
                  <w:rPr>
                    <w:noProof/>
                    <w:sz w:val="18"/>
                    <w:lang w:val="fr-FR" w:eastAsia="fr-FR"/>
                  </w:rPr>
                  <w:t>7</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1E7" w:rsidRDefault="007501E7">
      <w:r>
        <w:separator/>
      </w:r>
    </w:p>
  </w:footnote>
  <w:footnote w:type="continuationSeparator" w:id="1">
    <w:p w:rsidR="007501E7" w:rsidRDefault="00750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7C" w:rsidRDefault="00B6707C" w:rsidP="00FF58AA">
    <w:pPr>
      <w:pStyle w:val="En-tte"/>
      <w:rPr>
        <w:i/>
        <w:sz w:val="22"/>
        <w:szCs w:val="22"/>
      </w:rPr>
    </w:pPr>
    <w:r>
      <w:rPr>
        <w:i/>
        <w:color w:val="000000"/>
        <w:sz w:val="22"/>
        <w:szCs w:val="22"/>
      </w:rPr>
      <w:t xml:space="preserve">J. Mater. Environ. Sci. </w:t>
    </w:r>
    <w:r w:rsidR="00FF58AA">
      <w:rPr>
        <w:i/>
        <w:color w:val="000000"/>
        <w:sz w:val="22"/>
        <w:szCs w:val="22"/>
      </w:rPr>
      <w:t>8</w:t>
    </w:r>
    <w:r>
      <w:rPr>
        <w:i/>
        <w:color w:val="000000"/>
        <w:sz w:val="22"/>
        <w:szCs w:val="22"/>
      </w:rPr>
      <w:t xml:space="preserve"> (</w:t>
    </w:r>
    <w:r w:rsidR="00FF58AA">
      <w:rPr>
        <w:i/>
        <w:color w:val="000000"/>
        <w:sz w:val="22"/>
        <w:szCs w:val="22"/>
      </w:rPr>
      <w:t>1</w:t>
    </w:r>
    <w:r>
      <w:rPr>
        <w:i/>
        <w:color w:val="000000"/>
        <w:sz w:val="22"/>
        <w:szCs w:val="22"/>
      </w:rPr>
      <w:t>) (201</w:t>
    </w:r>
    <w:r w:rsidR="00FF58AA">
      <w:rPr>
        <w:i/>
        <w:color w:val="000000"/>
        <w:sz w:val="22"/>
        <w:szCs w:val="22"/>
      </w:rPr>
      <w:t>7</w:t>
    </w:r>
    <w:r>
      <w:rPr>
        <w:i/>
        <w:color w:val="000000"/>
        <w:sz w:val="22"/>
        <w:szCs w:val="22"/>
      </w:rPr>
      <w:t xml:space="preserve">) </w:t>
    </w:r>
    <w:r w:rsidR="00FF58AA">
      <w:rPr>
        <w:i/>
        <w:color w:val="000000"/>
        <w:sz w:val="22"/>
        <w:szCs w:val="22"/>
      </w:rPr>
      <w:t>7</w:t>
    </w:r>
    <w:r>
      <w:rPr>
        <w:i/>
        <w:color w:val="000000"/>
        <w:sz w:val="22"/>
        <w:szCs w:val="22"/>
      </w:rPr>
      <w:t>-</w:t>
    </w:r>
    <w:r w:rsidR="00FF58AA">
      <w:rPr>
        <w:i/>
        <w:color w:val="000000"/>
        <w:sz w:val="22"/>
        <w:szCs w:val="22"/>
      </w:rPr>
      <w:t xml:space="preserve">13                             </w:t>
    </w:r>
    <w:r>
      <w:rPr>
        <w:i/>
        <w:sz w:val="22"/>
        <w:szCs w:val="22"/>
      </w:rPr>
      <w:t xml:space="preserve">                                                       Khalid and Ahmed</w:t>
    </w:r>
  </w:p>
  <w:p w:rsidR="00B6707C" w:rsidRDefault="00B6707C">
    <w:pPr>
      <w:pStyle w:val="En-tte"/>
      <w:rPr>
        <w:i/>
        <w:sz w:val="22"/>
        <w:szCs w:val="22"/>
      </w:rPr>
    </w:pPr>
    <w:r>
      <w:rPr>
        <w:i/>
        <w:sz w:val="22"/>
        <w:szCs w:val="22"/>
      </w:rPr>
      <w:t xml:space="preserve">ISSN: 2028-2508 </w:t>
    </w:r>
  </w:p>
  <w:p w:rsidR="00B6707C" w:rsidRDefault="00B6707C">
    <w:pPr>
      <w:pStyle w:val="En-tte"/>
      <w:rPr>
        <w:i/>
        <w:sz w:val="22"/>
        <w:szCs w:val="22"/>
      </w:rPr>
    </w:pPr>
    <w:r>
      <w:rPr>
        <w:i/>
        <w:sz w:val="22"/>
        <w:szCs w:val="22"/>
      </w:rPr>
      <w:t>CODEN: JMESCN</w:t>
    </w:r>
  </w:p>
  <w:p w:rsidR="005F7F82" w:rsidRDefault="005F7F82">
    <w:pPr>
      <w:pStyle w:val="En-tte"/>
      <w:rPr>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90C2B"/>
    <w:multiLevelType w:val="hybridMultilevel"/>
    <w:tmpl w:val="E278B0B0"/>
    <w:lvl w:ilvl="0" w:tplc="07A0C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C48BA"/>
    <w:multiLevelType w:val="multilevel"/>
    <w:tmpl w:val="C2D0539C"/>
    <w:lvl w:ilvl="0">
      <w:start w:val="1"/>
      <w:numFmt w:val="decimal"/>
      <w:lvlText w:val="%1."/>
      <w:lvlJc w:val="left"/>
      <w:pPr>
        <w:tabs>
          <w:tab w:val="num" w:pos="720"/>
        </w:tabs>
        <w:ind w:left="720"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hyphenationZone w:val="425"/>
  <w:drawingGridHorizontalSpacing w:val="0"/>
  <w:characterSpacingControl w:val="doNotCompress"/>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doNotLeaveBackslashAlone/>
    <w:doNotExpandShiftReturn/>
    <w:useFELayout/>
  </w:compat>
  <w:rsids>
    <w:rsidRoot w:val="00172A27"/>
    <w:rsid w:val="000007A3"/>
    <w:rsid w:val="00006FC3"/>
    <w:rsid w:val="000073BE"/>
    <w:rsid w:val="00011EF7"/>
    <w:rsid w:val="00012286"/>
    <w:rsid w:val="00012750"/>
    <w:rsid w:val="000151F5"/>
    <w:rsid w:val="00020727"/>
    <w:rsid w:val="00021024"/>
    <w:rsid w:val="00023148"/>
    <w:rsid w:val="00024978"/>
    <w:rsid w:val="00024A0C"/>
    <w:rsid w:val="00026DFE"/>
    <w:rsid w:val="00026E57"/>
    <w:rsid w:val="00027AD6"/>
    <w:rsid w:val="00040725"/>
    <w:rsid w:val="0004147C"/>
    <w:rsid w:val="000417AA"/>
    <w:rsid w:val="00046590"/>
    <w:rsid w:val="00050D37"/>
    <w:rsid w:val="00055661"/>
    <w:rsid w:val="000629E3"/>
    <w:rsid w:val="000643FB"/>
    <w:rsid w:val="00064640"/>
    <w:rsid w:val="000673CB"/>
    <w:rsid w:val="00067F2C"/>
    <w:rsid w:val="00072F7F"/>
    <w:rsid w:val="00073D90"/>
    <w:rsid w:val="00074F4A"/>
    <w:rsid w:val="00075946"/>
    <w:rsid w:val="000803AD"/>
    <w:rsid w:val="00080666"/>
    <w:rsid w:val="00083A36"/>
    <w:rsid w:val="0008492D"/>
    <w:rsid w:val="00087294"/>
    <w:rsid w:val="00087362"/>
    <w:rsid w:val="000910C0"/>
    <w:rsid w:val="00092CB2"/>
    <w:rsid w:val="00093958"/>
    <w:rsid w:val="000977BB"/>
    <w:rsid w:val="00097906"/>
    <w:rsid w:val="000A3944"/>
    <w:rsid w:val="000A7202"/>
    <w:rsid w:val="000A7C94"/>
    <w:rsid w:val="000B0E83"/>
    <w:rsid w:val="000B49D7"/>
    <w:rsid w:val="000B54E7"/>
    <w:rsid w:val="000B5B02"/>
    <w:rsid w:val="000C1139"/>
    <w:rsid w:val="000C3725"/>
    <w:rsid w:val="000C53B7"/>
    <w:rsid w:val="000C72EA"/>
    <w:rsid w:val="000C7DD0"/>
    <w:rsid w:val="000D261F"/>
    <w:rsid w:val="000D3014"/>
    <w:rsid w:val="000E111F"/>
    <w:rsid w:val="000E30DA"/>
    <w:rsid w:val="000F0E46"/>
    <w:rsid w:val="000F4433"/>
    <w:rsid w:val="000F79ED"/>
    <w:rsid w:val="00104D3D"/>
    <w:rsid w:val="00105B80"/>
    <w:rsid w:val="00106A67"/>
    <w:rsid w:val="00113309"/>
    <w:rsid w:val="00115E9A"/>
    <w:rsid w:val="0011601D"/>
    <w:rsid w:val="00117438"/>
    <w:rsid w:val="00122239"/>
    <w:rsid w:val="00122A5A"/>
    <w:rsid w:val="00123640"/>
    <w:rsid w:val="00123817"/>
    <w:rsid w:val="001239B8"/>
    <w:rsid w:val="001316A7"/>
    <w:rsid w:val="00132134"/>
    <w:rsid w:val="00133FF6"/>
    <w:rsid w:val="00141FE0"/>
    <w:rsid w:val="0014572E"/>
    <w:rsid w:val="0014786C"/>
    <w:rsid w:val="001478E6"/>
    <w:rsid w:val="00151A38"/>
    <w:rsid w:val="00152482"/>
    <w:rsid w:val="001528AA"/>
    <w:rsid w:val="001535A9"/>
    <w:rsid w:val="001547E3"/>
    <w:rsid w:val="001561FC"/>
    <w:rsid w:val="00160515"/>
    <w:rsid w:val="00164610"/>
    <w:rsid w:val="00164A0E"/>
    <w:rsid w:val="00165221"/>
    <w:rsid w:val="0016655F"/>
    <w:rsid w:val="00166655"/>
    <w:rsid w:val="00166EFE"/>
    <w:rsid w:val="001675C8"/>
    <w:rsid w:val="001678F9"/>
    <w:rsid w:val="00172A27"/>
    <w:rsid w:val="001731E8"/>
    <w:rsid w:val="001739D5"/>
    <w:rsid w:val="00177929"/>
    <w:rsid w:val="00186E57"/>
    <w:rsid w:val="001871F8"/>
    <w:rsid w:val="00187BB8"/>
    <w:rsid w:val="00190DAC"/>
    <w:rsid w:val="00193272"/>
    <w:rsid w:val="001957EC"/>
    <w:rsid w:val="001A4434"/>
    <w:rsid w:val="001A7CF1"/>
    <w:rsid w:val="001B0C81"/>
    <w:rsid w:val="001B4350"/>
    <w:rsid w:val="001B67A8"/>
    <w:rsid w:val="001C27CE"/>
    <w:rsid w:val="001C31E8"/>
    <w:rsid w:val="001C36C6"/>
    <w:rsid w:val="001C5F45"/>
    <w:rsid w:val="001C7126"/>
    <w:rsid w:val="001D2D28"/>
    <w:rsid w:val="001E1739"/>
    <w:rsid w:val="001E2175"/>
    <w:rsid w:val="001E4CC2"/>
    <w:rsid w:val="001E596B"/>
    <w:rsid w:val="001E6ADA"/>
    <w:rsid w:val="001F1A95"/>
    <w:rsid w:val="001F597D"/>
    <w:rsid w:val="001F6F70"/>
    <w:rsid w:val="002015D5"/>
    <w:rsid w:val="002022EB"/>
    <w:rsid w:val="00203E66"/>
    <w:rsid w:val="00205C2D"/>
    <w:rsid w:val="002062EC"/>
    <w:rsid w:val="00206D28"/>
    <w:rsid w:val="0020722B"/>
    <w:rsid w:val="00216EBE"/>
    <w:rsid w:val="00220EE6"/>
    <w:rsid w:val="002211EA"/>
    <w:rsid w:val="002234B0"/>
    <w:rsid w:val="0022633B"/>
    <w:rsid w:val="00231D1F"/>
    <w:rsid w:val="00234BA3"/>
    <w:rsid w:val="00234C43"/>
    <w:rsid w:val="002353F0"/>
    <w:rsid w:val="00235601"/>
    <w:rsid w:val="00235782"/>
    <w:rsid w:val="00241039"/>
    <w:rsid w:val="00241344"/>
    <w:rsid w:val="002454AA"/>
    <w:rsid w:val="00253158"/>
    <w:rsid w:val="00253196"/>
    <w:rsid w:val="002545F5"/>
    <w:rsid w:val="00255A25"/>
    <w:rsid w:val="002639B3"/>
    <w:rsid w:val="00263C8A"/>
    <w:rsid w:val="002664D4"/>
    <w:rsid w:val="00267F07"/>
    <w:rsid w:val="002700CC"/>
    <w:rsid w:val="002750A1"/>
    <w:rsid w:val="002750AE"/>
    <w:rsid w:val="00277462"/>
    <w:rsid w:val="00281BD4"/>
    <w:rsid w:val="00282509"/>
    <w:rsid w:val="0028270C"/>
    <w:rsid w:val="00282AC3"/>
    <w:rsid w:val="002847BF"/>
    <w:rsid w:val="00284B3C"/>
    <w:rsid w:val="00286136"/>
    <w:rsid w:val="002867CD"/>
    <w:rsid w:val="00290F85"/>
    <w:rsid w:val="002913BB"/>
    <w:rsid w:val="00291627"/>
    <w:rsid w:val="00291C0F"/>
    <w:rsid w:val="00293877"/>
    <w:rsid w:val="00296994"/>
    <w:rsid w:val="002A0927"/>
    <w:rsid w:val="002A2766"/>
    <w:rsid w:val="002A424E"/>
    <w:rsid w:val="002A6E34"/>
    <w:rsid w:val="002B032E"/>
    <w:rsid w:val="002B081B"/>
    <w:rsid w:val="002B0FC6"/>
    <w:rsid w:val="002B23AB"/>
    <w:rsid w:val="002B31D6"/>
    <w:rsid w:val="002B38A9"/>
    <w:rsid w:val="002B53A9"/>
    <w:rsid w:val="002B5F6A"/>
    <w:rsid w:val="002C2E22"/>
    <w:rsid w:val="002C4375"/>
    <w:rsid w:val="002C500E"/>
    <w:rsid w:val="002C798E"/>
    <w:rsid w:val="002D3E1D"/>
    <w:rsid w:val="002D4827"/>
    <w:rsid w:val="002D56FE"/>
    <w:rsid w:val="002D582B"/>
    <w:rsid w:val="002D631D"/>
    <w:rsid w:val="002E1F7B"/>
    <w:rsid w:val="002E3901"/>
    <w:rsid w:val="002E3E1F"/>
    <w:rsid w:val="002E47B2"/>
    <w:rsid w:val="002E64A5"/>
    <w:rsid w:val="002E6638"/>
    <w:rsid w:val="002F324D"/>
    <w:rsid w:val="002F379B"/>
    <w:rsid w:val="002F4F20"/>
    <w:rsid w:val="003031C0"/>
    <w:rsid w:val="00304D78"/>
    <w:rsid w:val="0031046E"/>
    <w:rsid w:val="00311881"/>
    <w:rsid w:val="003139B7"/>
    <w:rsid w:val="00314B4C"/>
    <w:rsid w:val="0031602F"/>
    <w:rsid w:val="003163D0"/>
    <w:rsid w:val="00316A2B"/>
    <w:rsid w:val="00324574"/>
    <w:rsid w:val="003305BE"/>
    <w:rsid w:val="00334F68"/>
    <w:rsid w:val="003355B2"/>
    <w:rsid w:val="00337720"/>
    <w:rsid w:val="00344359"/>
    <w:rsid w:val="003458B1"/>
    <w:rsid w:val="003503E5"/>
    <w:rsid w:val="0035141E"/>
    <w:rsid w:val="00352BE2"/>
    <w:rsid w:val="00353E84"/>
    <w:rsid w:val="0035740E"/>
    <w:rsid w:val="00363DB5"/>
    <w:rsid w:val="003663FB"/>
    <w:rsid w:val="00367E12"/>
    <w:rsid w:val="00367F42"/>
    <w:rsid w:val="00370DF8"/>
    <w:rsid w:val="00372F17"/>
    <w:rsid w:val="00373D39"/>
    <w:rsid w:val="0037580C"/>
    <w:rsid w:val="00380168"/>
    <w:rsid w:val="003839F1"/>
    <w:rsid w:val="00383DED"/>
    <w:rsid w:val="003861DD"/>
    <w:rsid w:val="00386FDC"/>
    <w:rsid w:val="00387799"/>
    <w:rsid w:val="0039318D"/>
    <w:rsid w:val="003944CA"/>
    <w:rsid w:val="003958FE"/>
    <w:rsid w:val="0039633E"/>
    <w:rsid w:val="003A07B2"/>
    <w:rsid w:val="003A1AA6"/>
    <w:rsid w:val="003A3041"/>
    <w:rsid w:val="003A6F10"/>
    <w:rsid w:val="003A7D09"/>
    <w:rsid w:val="003B0A0E"/>
    <w:rsid w:val="003B251C"/>
    <w:rsid w:val="003C0FEE"/>
    <w:rsid w:val="003C653C"/>
    <w:rsid w:val="003C6CF9"/>
    <w:rsid w:val="003D0FFE"/>
    <w:rsid w:val="003D68FB"/>
    <w:rsid w:val="003D7D3E"/>
    <w:rsid w:val="003E0FD8"/>
    <w:rsid w:val="003E618D"/>
    <w:rsid w:val="003E623F"/>
    <w:rsid w:val="003E7244"/>
    <w:rsid w:val="003F52C3"/>
    <w:rsid w:val="003F5D05"/>
    <w:rsid w:val="003F65A8"/>
    <w:rsid w:val="004022F9"/>
    <w:rsid w:val="004028D3"/>
    <w:rsid w:val="00402FAD"/>
    <w:rsid w:val="00406465"/>
    <w:rsid w:val="004071AC"/>
    <w:rsid w:val="004137E3"/>
    <w:rsid w:val="004150D3"/>
    <w:rsid w:val="0041782D"/>
    <w:rsid w:val="00422F8A"/>
    <w:rsid w:val="004231FB"/>
    <w:rsid w:val="00425BFE"/>
    <w:rsid w:val="00425DC9"/>
    <w:rsid w:val="004262BE"/>
    <w:rsid w:val="00426825"/>
    <w:rsid w:val="00427C17"/>
    <w:rsid w:val="00433938"/>
    <w:rsid w:val="004342A5"/>
    <w:rsid w:val="00435BF2"/>
    <w:rsid w:val="004446C7"/>
    <w:rsid w:val="0044693C"/>
    <w:rsid w:val="00446C4D"/>
    <w:rsid w:val="004548B4"/>
    <w:rsid w:val="00455FCE"/>
    <w:rsid w:val="00461BC6"/>
    <w:rsid w:val="0046368A"/>
    <w:rsid w:val="0046422D"/>
    <w:rsid w:val="004670AC"/>
    <w:rsid w:val="00471750"/>
    <w:rsid w:val="004751C1"/>
    <w:rsid w:val="00476CC0"/>
    <w:rsid w:val="00484DC5"/>
    <w:rsid w:val="00485420"/>
    <w:rsid w:val="00491B26"/>
    <w:rsid w:val="0049209E"/>
    <w:rsid w:val="004A2F83"/>
    <w:rsid w:val="004A3A17"/>
    <w:rsid w:val="004A5290"/>
    <w:rsid w:val="004B0509"/>
    <w:rsid w:val="004B1DF4"/>
    <w:rsid w:val="004B3E02"/>
    <w:rsid w:val="004C0FA0"/>
    <w:rsid w:val="004C2FBD"/>
    <w:rsid w:val="004C41B7"/>
    <w:rsid w:val="004D290F"/>
    <w:rsid w:val="004D673F"/>
    <w:rsid w:val="004D684C"/>
    <w:rsid w:val="004E1D51"/>
    <w:rsid w:val="004E1DE3"/>
    <w:rsid w:val="004E2CB6"/>
    <w:rsid w:val="004F4510"/>
    <w:rsid w:val="00502865"/>
    <w:rsid w:val="00506EC2"/>
    <w:rsid w:val="00511245"/>
    <w:rsid w:val="00511CDC"/>
    <w:rsid w:val="00511E16"/>
    <w:rsid w:val="00514804"/>
    <w:rsid w:val="00515E6C"/>
    <w:rsid w:val="00521E3C"/>
    <w:rsid w:val="00536051"/>
    <w:rsid w:val="00540A9B"/>
    <w:rsid w:val="00544521"/>
    <w:rsid w:val="0054508C"/>
    <w:rsid w:val="00545417"/>
    <w:rsid w:val="00546A95"/>
    <w:rsid w:val="00550D73"/>
    <w:rsid w:val="005610BD"/>
    <w:rsid w:val="005677FF"/>
    <w:rsid w:val="00567E96"/>
    <w:rsid w:val="00570303"/>
    <w:rsid w:val="005704C4"/>
    <w:rsid w:val="00571390"/>
    <w:rsid w:val="00575730"/>
    <w:rsid w:val="00580745"/>
    <w:rsid w:val="00582EDE"/>
    <w:rsid w:val="00583A32"/>
    <w:rsid w:val="00584636"/>
    <w:rsid w:val="005853DA"/>
    <w:rsid w:val="005858C8"/>
    <w:rsid w:val="00585C34"/>
    <w:rsid w:val="005861DC"/>
    <w:rsid w:val="005913EB"/>
    <w:rsid w:val="00591A0D"/>
    <w:rsid w:val="00592375"/>
    <w:rsid w:val="005926E8"/>
    <w:rsid w:val="005931F0"/>
    <w:rsid w:val="00594CED"/>
    <w:rsid w:val="00595916"/>
    <w:rsid w:val="005967BA"/>
    <w:rsid w:val="005A1B8B"/>
    <w:rsid w:val="005A2861"/>
    <w:rsid w:val="005A2F9F"/>
    <w:rsid w:val="005B28CE"/>
    <w:rsid w:val="005C15A4"/>
    <w:rsid w:val="005C4AC0"/>
    <w:rsid w:val="005C535E"/>
    <w:rsid w:val="005D0421"/>
    <w:rsid w:val="005D1FA1"/>
    <w:rsid w:val="005D316A"/>
    <w:rsid w:val="005D4185"/>
    <w:rsid w:val="005D5E1B"/>
    <w:rsid w:val="005E0D0B"/>
    <w:rsid w:val="005F12AC"/>
    <w:rsid w:val="005F75F3"/>
    <w:rsid w:val="005F7F82"/>
    <w:rsid w:val="00602EB2"/>
    <w:rsid w:val="00607935"/>
    <w:rsid w:val="00607D26"/>
    <w:rsid w:val="006134C5"/>
    <w:rsid w:val="0061450C"/>
    <w:rsid w:val="0061495B"/>
    <w:rsid w:val="00620BAE"/>
    <w:rsid w:val="00622B5F"/>
    <w:rsid w:val="00624B83"/>
    <w:rsid w:val="00625310"/>
    <w:rsid w:val="00631EFA"/>
    <w:rsid w:val="0064348D"/>
    <w:rsid w:val="00643798"/>
    <w:rsid w:val="00651777"/>
    <w:rsid w:val="00653229"/>
    <w:rsid w:val="00655C1A"/>
    <w:rsid w:val="00655F22"/>
    <w:rsid w:val="00656A30"/>
    <w:rsid w:val="00656DB1"/>
    <w:rsid w:val="00656E43"/>
    <w:rsid w:val="00667E34"/>
    <w:rsid w:val="00672EEC"/>
    <w:rsid w:val="00673345"/>
    <w:rsid w:val="006746AC"/>
    <w:rsid w:val="00674F6D"/>
    <w:rsid w:val="006753FE"/>
    <w:rsid w:val="00675FFB"/>
    <w:rsid w:val="00682AFF"/>
    <w:rsid w:val="00682F94"/>
    <w:rsid w:val="006861BE"/>
    <w:rsid w:val="00686E93"/>
    <w:rsid w:val="006914E9"/>
    <w:rsid w:val="00692E5E"/>
    <w:rsid w:val="00693485"/>
    <w:rsid w:val="00697E02"/>
    <w:rsid w:val="006A0C3D"/>
    <w:rsid w:val="006A16A8"/>
    <w:rsid w:val="006A1A7E"/>
    <w:rsid w:val="006A7153"/>
    <w:rsid w:val="006B6C04"/>
    <w:rsid w:val="006B7B05"/>
    <w:rsid w:val="006C7AAD"/>
    <w:rsid w:val="006C7E63"/>
    <w:rsid w:val="006D15CF"/>
    <w:rsid w:val="006D2231"/>
    <w:rsid w:val="006D4F3B"/>
    <w:rsid w:val="006D58FB"/>
    <w:rsid w:val="006D654E"/>
    <w:rsid w:val="006D7A69"/>
    <w:rsid w:val="006E0AC1"/>
    <w:rsid w:val="006E1EA9"/>
    <w:rsid w:val="006E37E9"/>
    <w:rsid w:val="006E3F99"/>
    <w:rsid w:val="006E4DB9"/>
    <w:rsid w:val="006F445E"/>
    <w:rsid w:val="00704C84"/>
    <w:rsid w:val="00710D15"/>
    <w:rsid w:val="007128B1"/>
    <w:rsid w:val="007129E9"/>
    <w:rsid w:val="00714A8C"/>
    <w:rsid w:val="007167A5"/>
    <w:rsid w:val="00723A59"/>
    <w:rsid w:val="00724AC3"/>
    <w:rsid w:val="00727A8C"/>
    <w:rsid w:val="007304E2"/>
    <w:rsid w:val="00730AFF"/>
    <w:rsid w:val="00736577"/>
    <w:rsid w:val="00741D59"/>
    <w:rsid w:val="007449D2"/>
    <w:rsid w:val="007472E0"/>
    <w:rsid w:val="007501E7"/>
    <w:rsid w:val="00750AFE"/>
    <w:rsid w:val="00752335"/>
    <w:rsid w:val="00752DD5"/>
    <w:rsid w:val="00753F0C"/>
    <w:rsid w:val="00760212"/>
    <w:rsid w:val="0076767D"/>
    <w:rsid w:val="007732D7"/>
    <w:rsid w:val="00777ED4"/>
    <w:rsid w:val="00780405"/>
    <w:rsid w:val="007837F1"/>
    <w:rsid w:val="00790412"/>
    <w:rsid w:val="00791938"/>
    <w:rsid w:val="00793ACE"/>
    <w:rsid w:val="00795E65"/>
    <w:rsid w:val="007A1A30"/>
    <w:rsid w:val="007A3FD4"/>
    <w:rsid w:val="007B3D02"/>
    <w:rsid w:val="007B4BF4"/>
    <w:rsid w:val="007B657D"/>
    <w:rsid w:val="007C0E04"/>
    <w:rsid w:val="007C1101"/>
    <w:rsid w:val="007C1F13"/>
    <w:rsid w:val="007C6B5F"/>
    <w:rsid w:val="007C74D6"/>
    <w:rsid w:val="007C7BB9"/>
    <w:rsid w:val="007D064B"/>
    <w:rsid w:val="007D185F"/>
    <w:rsid w:val="007D48CD"/>
    <w:rsid w:val="007D4C0E"/>
    <w:rsid w:val="007D51FE"/>
    <w:rsid w:val="007E074D"/>
    <w:rsid w:val="007E41D1"/>
    <w:rsid w:val="007E6047"/>
    <w:rsid w:val="007F27EF"/>
    <w:rsid w:val="007F4230"/>
    <w:rsid w:val="007F51D5"/>
    <w:rsid w:val="00800178"/>
    <w:rsid w:val="00803563"/>
    <w:rsid w:val="00805FB1"/>
    <w:rsid w:val="00807EC4"/>
    <w:rsid w:val="00810F9F"/>
    <w:rsid w:val="00813A29"/>
    <w:rsid w:val="00813CE4"/>
    <w:rsid w:val="00816623"/>
    <w:rsid w:val="00816883"/>
    <w:rsid w:val="008171E0"/>
    <w:rsid w:val="00832008"/>
    <w:rsid w:val="00832BD5"/>
    <w:rsid w:val="0083422C"/>
    <w:rsid w:val="00834267"/>
    <w:rsid w:val="00834B59"/>
    <w:rsid w:val="008358AB"/>
    <w:rsid w:val="008442E8"/>
    <w:rsid w:val="00845CE9"/>
    <w:rsid w:val="008473DD"/>
    <w:rsid w:val="00855533"/>
    <w:rsid w:val="00860213"/>
    <w:rsid w:val="00860B82"/>
    <w:rsid w:val="00862680"/>
    <w:rsid w:val="00862DF8"/>
    <w:rsid w:val="008634A9"/>
    <w:rsid w:val="008662A3"/>
    <w:rsid w:val="008711C2"/>
    <w:rsid w:val="008718BD"/>
    <w:rsid w:val="008719CF"/>
    <w:rsid w:val="00872B16"/>
    <w:rsid w:val="00872BD9"/>
    <w:rsid w:val="00873799"/>
    <w:rsid w:val="008741BC"/>
    <w:rsid w:val="00874947"/>
    <w:rsid w:val="00874FA1"/>
    <w:rsid w:val="008771BE"/>
    <w:rsid w:val="00877ECB"/>
    <w:rsid w:val="008801B3"/>
    <w:rsid w:val="00883AA6"/>
    <w:rsid w:val="008849BD"/>
    <w:rsid w:val="008905D5"/>
    <w:rsid w:val="008948D5"/>
    <w:rsid w:val="00894D80"/>
    <w:rsid w:val="0089764E"/>
    <w:rsid w:val="008A3C93"/>
    <w:rsid w:val="008A4020"/>
    <w:rsid w:val="008A6B71"/>
    <w:rsid w:val="008B1EC6"/>
    <w:rsid w:val="008B42E0"/>
    <w:rsid w:val="008B6811"/>
    <w:rsid w:val="008B7D8A"/>
    <w:rsid w:val="008C3D1A"/>
    <w:rsid w:val="008C51FD"/>
    <w:rsid w:val="008C6FFE"/>
    <w:rsid w:val="008C7AE5"/>
    <w:rsid w:val="008D0B5B"/>
    <w:rsid w:val="008D5729"/>
    <w:rsid w:val="008D6EBE"/>
    <w:rsid w:val="008D7650"/>
    <w:rsid w:val="008E186D"/>
    <w:rsid w:val="008E212E"/>
    <w:rsid w:val="008E21A7"/>
    <w:rsid w:val="008E382B"/>
    <w:rsid w:val="008E4B3F"/>
    <w:rsid w:val="008F5054"/>
    <w:rsid w:val="008F5CE0"/>
    <w:rsid w:val="008F690A"/>
    <w:rsid w:val="008F7056"/>
    <w:rsid w:val="008F7255"/>
    <w:rsid w:val="00900B3F"/>
    <w:rsid w:val="009010B6"/>
    <w:rsid w:val="009026FB"/>
    <w:rsid w:val="00904731"/>
    <w:rsid w:val="00910CFA"/>
    <w:rsid w:val="00912366"/>
    <w:rsid w:val="00912B79"/>
    <w:rsid w:val="009130BB"/>
    <w:rsid w:val="00915F27"/>
    <w:rsid w:val="00923C9D"/>
    <w:rsid w:val="00924EDD"/>
    <w:rsid w:val="009253FD"/>
    <w:rsid w:val="00926617"/>
    <w:rsid w:val="00955FF4"/>
    <w:rsid w:val="009570CC"/>
    <w:rsid w:val="009621FC"/>
    <w:rsid w:val="0096259B"/>
    <w:rsid w:val="00966ACC"/>
    <w:rsid w:val="00970891"/>
    <w:rsid w:val="00970B5E"/>
    <w:rsid w:val="0097310C"/>
    <w:rsid w:val="009754D5"/>
    <w:rsid w:val="00976858"/>
    <w:rsid w:val="00977C68"/>
    <w:rsid w:val="00980391"/>
    <w:rsid w:val="00981A94"/>
    <w:rsid w:val="009841F0"/>
    <w:rsid w:val="009848B3"/>
    <w:rsid w:val="0098537F"/>
    <w:rsid w:val="009856EB"/>
    <w:rsid w:val="00986C36"/>
    <w:rsid w:val="00987F8C"/>
    <w:rsid w:val="0099149E"/>
    <w:rsid w:val="009917C8"/>
    <w:rsid w:val="0099410B"/>
    <w:rsid w:val="00994963"/>
    <w:rsid w:val="009956A0"/>
    <w:rsid w:val="009957C5"/>
    <w:rsid w:val="009A64E8"/>
    <w:rsid w:val="009B1627"/>
    <w:rsid w:val="009B1BFF"/>
    <w:rsid w:val="009B263A"/>
    <w:rsid w:val="009B3144"/>
    <w:rsid w:val="009B3BA2"/>
    <w:rsid w:val="009B749F"/>
    <w:rsid w:val="009B7AC3"/>
    <w:rsid w:val="009C03EB"/>
    <w:rsid w:val="009C2526"/>
    <w:rsid w:val="009C72C3"/>
    <w:rsid w:val="009D1805"/>
    <w:rsid w:val="009D1B77"/>
    <w:rsid w:val="009D1C08"/>
    <w:rsid w:val="009D2D40"/>
    <w:rsid w:val="009D3400"/>
    <w:rsid w:val="009D6A08"/>
    <w:rsid w:val="009E17DD"/>
    <w:rsid w:val="009E20B1"/>
    <w:rsid w:val="009E2985"/>
    <w:rsid w:val="009E29E8"/>
    <w:rsid w:val="009E2CD9"/>
    <w:rsid w:val="009E7805"/>
    <w:rsid w:val="009F19F7"/>
    <w:rsid w:val="009F249C"/>
    <w:rsid w:val="009F4840"/>
    <w:rsid w:val="009F567C"/>
    <w:rsid w:val="00A0140E"/>
    <w:rsid w:val="00A04E2C"/>
    <w:rsid w:val="00A06078"/>
    <w:rsid w:val="00A076CA"/>
    <w:rsid w:val="00A07866"/>
    <w:rsid w:val="00A240A1"/>
    <w:rsid w:val="00A258D4"/>
    <w:rsid w:val="00A27D9B"/>
    <w:rsid w:val="00A27FF5"/>
    <w:rsid w:val="00A31889"/>
    <w:rsid w:val="00A32F61"/>
    <w:rsid w:val="00A362F3"/>
    <w:rsid w:val="00A47BF9"/>
    <w:rsid w:val="00A514B9"/>
    <w:rsid w:val="00A52D9B"/>
    <w:rsid w:val="00A54875"/>
    <w:rsid w:val="00A56F8A"/>
    <w:rsid w:val="00A6333D"/>
    <w:rsid w:val="00A65825"/>
    <w:rsid w:val="00A734B2"/>
    <w:rsid w:val="00A818BD"/>
    <w:rsid w:val="00A864C7"/>
    <w:rsid w:val="00A87A31"/>
    <w:rsid w:val="00A909D8"/>
    <w:rsid w:val="00A918EF"/>
    <w:rsid w:val="00A92035"/>
    <w:rsid w:val="00A959AD"/>
    <w:rsid w:val="00A9648C"/>
    <w:rsid w:val="00A969F6"/>
    <w:rsid w:val="00A9754C"/>
    <w:rsid w:val="00AA2141"/>
    <w:rsid w:val="00AA25ED"/>
    <w:rsid w:val="00AA2B5E"/>
    <w:rsid w:val="00AB0665"/>
    <w:rsid w:val="00AB06B8"/>
    <w:rsid w:val="00AB0F74"/>
    <w:rsid w:val="00AB2250"/>
    <w:rsid w:val="00AC4225"/>
    <w:rsid w:val="00AC4FA7"/>
    <w:rsid w:val="00AD0CF1"/>
    <w:rsid w:val="00AD1861"/>
    <w:rsid w:val="00AD5346"/>
    <w:rsid w:val="00AE25D8"/>
    <w:rsid w:val="00AE4C46"/>
    <w:rsid w:val="00AE4C69"/>
    <w:rsid w:val="00AE50D9"/>
    <w:rsid w:val="00AE7A3C"/>
    <w:rsid w:val="00AF1DAC"/>
    <w:rsid w:val="00B008E1"/>
    <w:rsid w:val="00B05C75"/>
    <w:rsid w:val="00B11395"/>
    <w:rsid w:val="00B12EDB"/>
    <w:rsid w:val="00B238A0"/>
    <w:rsid w:val="00B25063"/>
    <w:rsid w:val="00B25344"/>
    <w:rsid w:val="00B26D3B"/>
    <w:rsid w:val="00B27EE2"/>
    <w:rsid w:val="00B31E1C"/>
    <w:rsid w:val="00B33F0C"/>
    <w:rsid w:val="00B37FE3"/>
    <w:rsid w:val="00B41B70"/>
    <w:rsid w:val="00B42C8C"/>
    <w:rsid w:val="00B432FE"/>
    <w:rsid w:val="00B45C99"/>
    <w:rsid w:val="00B5254D"/>
    <w:rsid w:val="00B55385"/>
    <w:rsid w:val="00B5771A"/>
    <w:rsid w:val="00B57D67"/>
    <w:rsid w:val="00B60D83"/>
    <w:rsid w:val="00B63B56"/>
    <w:rsid w:val="00B66D65"/>
    <w:rsid w:val="00B6707C"/>
    <w:rsid w:val="00B67D05"/>
    <w:rsid w:val="00B703AE"/>
    <w:rsid w:val="00B70445"/>
    <w:rsid w:val="00B71E14"/>
    <w:rsid w:val="00B72554"/>
    <w:rsid w:val="00B7498F"/>
    <w:rsid w:val="00B753BC"/>
    <w:rsid w:val="00B75528"/>
    <w:rsid w:val="00B7644D"/>
    <w:rsid w:val="00B8296B"/>
    <w:rsid w:val="00B91175"/>
    <w:rsid w:val="00B926AE"/>
    <w:rsid w:val="00B93AA1"/>
    <w:rsid w:val="00BA60D5"/>
    <w:rsid w:val="00BA6E73"/>
    <w:rsid w:val="00BA6ED1"/>
    <w:rsid w:val="00BA75B2"/>
    <w:rsid w:val="00BA7907"/>
    <w:rsid w:val="00BB000A"/>
    <w:rsid w:val="00BB0ABA"/>
    <w:rsid w:val="00BB18BA"/>
    <w:rsid w:val="00BB1A3E"/>
    <w:rsid w:val="00BB4060"/>
    <w:rsid w:val="00BB70D7"/>
    <w:rsid w:val="00BB7D7A"/>
    <w:rsid w:val="00BC1823"/>
    <w:rsid w:val="00BC40BA"/>
    <w:rsid w:val="00BC65F8"/>
    <w:rsid w:val="00BC6C27"/>
    <w:rsid w:val="00BD0FED"/>
    <w:rsid w:val="00BD366F"/>
    <w:rsid w:val="00BD4E7A"/>
    <w:rsid w:val="00BE57D0"/>
    <w:rsid w:val="00BF1891"/>
    <w:rsid w:val="00BF1CBB"/>
    <w:rsid w:val="00BF2275"/>
    <w:rsid w:val="00BF3384"/>
    <w:rsid w:val="00C014CC"/>
    <w:rsid w:val="00C021B4"/>
    <w:rsid w:val="00C056EC"/>
    <w:rsid w:val="00C066D5"/>
    <w:rsid w:val="00C10685"/>
    <w:rsid w:val="00C1198B"/>
    <w:rsid w:val="00C12948"/>
    <w:rsid w:val="00C133CC"/>
    <w:rsid w:val="00C145EF"/>
    <w:rsid w:val="00C15684"/>
    <w:rsid w:val="00C222D9"/>
    <w:rsid w:val="00C26916"/>
    <w:rsid w:val="00C26C30"/>
    <w:rsid w:val="00C3098C"/>
    <w:rsid w:val="00C30A70"/>
    <w:rsid w:val="00C33AD5"/>
    <w:rsid w:val="00C40B4B"/>
    <w:rsid w:val="00C411DF"/>
    <w:rsid w:val="00C445BA"/>
    <w:rsid w:val="00C44E79"/>
    <w:rsid w:val="00C457E3"/>
    <w:rsid w:val="00C4599F"/>
    <w:rsid w:val="00C506B5"/>
    <w:rsid w:val="00C52F2C"/>
    <w:rsid w:val="00C53A5F"/>
    <w:rsid w:val="00C543A4"/>
    <w:rsid w:val="00C63DF9"/>
    <w:rsid w:val="00C6530F"/>
    <w:rsid w:val="00C730F8"/>
    <w:rsid w:val="00C758DF"/>
    <w:rsid w:val="00C77282"/>
    <w:rsid w:val="00C77EC6"/>
    <w:rsid w:val="00C80FFC"/>
    <w:rsid w:val="00C8161E"/>
    <w:rsid w:val="00C81FD0"/>
    <w:rsid w:val="00C82EF9"/>
    <w:rsid w:val="00C856B0"/>
    <w:rsid w:val="00C8611D"/>
    <w:rsid w:val="00C87FBF"/>
    <w:rsid w:val="00C90B4A"/>
    <w:rsid w:val="00C91FB0"/>
    <w:rsid w:val="00C93260"/>
    <w:rsid w:val="00C97225"/>
    <w:rsid w:val="00C97B04"/>
    <w:rsid w:val="00CA6DF2"/>
    <w:rsid w:val="00CB0331"/>
    <w:rsid w:val="00CB1932"/>
    <w:rsid w:val="00CC378B"/>
    <w:rsid w:val="00CC6125"/>
    <w:rsid w:val="00CC670E"/>
    <w:rsid w:val="00CC7444"/>
    <w:rsid w:val="00CC7F3D"/>
    <w:rsid w:val="00CD0892"/>
    <w:rsid w:val="00CD30EC"/>
    <w:rsid w:val="00CD47F8"/>
    <w:rsid w:val="00CD59EF"/>
    <w:rsid w:val="00CD5F42"/>
    <w:rsid w:val="00CE2355"/>
    <w:rsid w:val="00CE7AA7"/>
    <w:rsid w:val="00CF33F8"/>
    <w:rsid w:val="00CF47B1"/>
    <w:rsid w:val="00CF5D83"/>
    <w:rsid w:val="00D016B4"/>
    <w:rsid w:val="00D05E4A"/>
    <w:rsid w:val="00D079EA"/>
    <w:rsid w:val="00D10256"/>
    <w:rsid w:val="00D127E0"/>
    <w:rsid w:val="00D158A2"/>
    <w:rsid w:val="00D16364"/>
    <w:rsid w:val="00D16E5A"/>
    <w:rsid w:val="00D170BC"/>
    <w:rsid w:val="00D218BE"/>
    <w:rsid w:val="00D22510"/>
    <w:rsid w:val="00D22FE2"/>
    <w:rsid w:val="00D24F26"/>
    <w:rsid w:val="00D25626"/>
    <w:rsid w:val="00D26442"/>
    <w:rsid w:val="00D2665C"/>
    <w:rsid w:val="00D307F4"/>
    <w:rsid w:val="00D31891"/>
    <w:rsid w:val="00D320E9"/>
    <w:rsid w:val="00D3274F"/>
    <w:rsid w:val="00D349A5"/>
    <w:rsid w:val="00D360EB"/>
    <w:rsid w:val="00D36A15"/>
    <w:rsid w:val="00D439B8"/>
    <w:rsid w:val="00D443A1"/>
    <w:rsid w:val="00D47300"/>
    <w:rsid w:val="00D51291"/>
    <w:rsid w:val="00D529F1"/>
    <w:rsid w:val="00D541D9"/>
    <w:rsid w:val="00D544FA"/>
    <w:rsid w:val="00D56527"/>
    <w:rsid w:val="00D574C7"/>
    <w:rsid w:val="00D57E83"/>
    <w:rsid w:val="00D60153"/>
    <w:rsid w:val="00D65A2E"/>
    <w:rsid w:val="00D663E0"/>
    <w:rsid w:val="00D716BC"/>
    <w:rsid w:val="00D71D7B"/>
    <w:rsid w:val="00D730CB"/>
    <w:rsid w:val="00D80725"/>
    <w:rsid w:val="00D833AD"/>
    <w:rsid w:val="00D85D4B"/>
    <w:rsid w:val="00D8780F"/>
    <w:rsid w:val="00D91AD7"/>
    <w:rsid w:val="00D94E9A"/>
    <w:rsid w:val="00D95401"/>
    <w:rsid w:val="00DA282A"/>
    <w:rsid w:val="00DA4098"/>
    <w:rsid w:val="00DA5826"/>
    <w:rsid w:val="00DB0546"/>
    <w:rsid w:val="00DB1E15"/>
    <w:rsid w:val="00DB2AB5"/>
    <w:rsid w:val="00DB323B"/>
    <w:rsid w:val="00DB43D2"/>
    <w:rsid w:val="00DB5EA1"/>
    <w:rsid w:val="00DB7433"/>
    <w:rsid w:val="00DB7FC2"/>
    <w:rsid w:val="00DC14DF"/>
    <w:rsid w:val="00DC4152"/>
    <w:rsid w:val="00DC5982"/>
    <w:rsid w:val="00DC5E21"/>
    <w:rsid w:val="00DD09B0"/>
    <w:rsid w:val="00DD12E8"/>
    <w:rsid w:val="00DD2BE8"/>
    <w:rsid w:val="00DD3022"/>
    <w:rsid w:val="00DD416D"/>
    <w:rsid w:val="00DD4DFE"/>
    <w:rsid w:val="00DD63EF"/>
    <w:rsid w:val="00DD6F3C"/>
    <w:rsid w:val="00DE01C4"/>
    <w:rsid w:val="00DE77D5"/>
    <w:rsid w:val="00DF66DA"/>
    <w:rsid w:val="00E016C5"/>
    <w:rsid w:val="00E041B1"/>
    <w:rsid w:val="00E04A54"/>
    <w:rsid w:val="00E06520"/>
    <w:rsid w:val="00E0655E"/>
    <w:rsid w:val="00E140D0"/>
    <w:rsid w:val="00E15E17"/>
    <w:rsid w:val="00E20BD6"/>
    <w:rsid w:val="00E247B1"/>
    <w:rsid w:val="00E24E78"/>
    <w:rsid w:val="00E3140A"/>
    <w:rsid w:val="00E339A4"/>
    <w:rsid w:val="00E36465"/>
    <w:rsid w:val="00E36BA0"/>
    <w:rsid w:val="00E36E69"/>
    <w:rsid w:val="00E42CD6"/>
    <w:rsid w:val="00E42EEE"/>
    <w:rsid w:val="00E467BA"/>
    <w:rsid w:val="00E476FF"/>
    <w:rsid w:val="00E47E1C"/>
    <w:rsid w:val="00E50BF6"/>
    <w:rsid w:val="00E5415E"/>
    <w:rsid w:val="00E57AE9"/>
    <w:rsid w:val="00E57E45"/>
    <w:rsid w:val="00E603B7"/>
    <w:rsid w:val="00E615BF"/>
    <w:rsid w:val="00E62551"/>
    <w:rsid w:val="00E638C6"/>
    <w:rsid w:val="00E679C6"/>
    <w:rsid w:val="00E72340"/>
    <w:rsid w:val="00E73735"/>
    <w:rsid w:val="00E74549"/>
    <w:rsid w:val="00E745BE"/>
    <w:rsid w:val="00E75A0C"/>
    <w:rsid w:val="00E779D5"/>
    <w:rsid w:val="00E806E7"/>
    <w:rsid w:val="00E83508"/>
    <w:rsid w:val="00E90FB3"/>
    <w:rsid w:val="00E91457"/>
    <w:rsid w:val="00E93AE6"/>
    <w:rsid w:val="00E94EEB"/>
    <w:rsid w:val="00E953C2"/>
    <w:rsid w:val="00EA16BF"/>
    <w:rsid w:val="00EA2358"/>
    <w:rsid w:val="00EA5B43"/>
    <w:rsid w:val="00EA6D5C"/>
    <w:rsid w:val="00EB0003"/>
    <w:rsid w:val="00EB65B8"/>
    <w:rsid w:val="00EC0DB7"/>
    <w:rsid w:val="00EC4D12"/>
    <w:rsid w:val="00EC554E"/>
    <w:rsid w:val="00ED10AA"/>
    <w:rsid w:val="00ED2499"/>
    <w:rsid w:val="00ED5C91"/>
    <w:rsid w:val="00ED692B"/>
    <w:rsid w:val="00EE14FD"/>
    <w:rsid w:val="00EE2DF1"/>
    <w:rsid w:val="00EE3A41"/>
    <w:rsid w:val="00EE4A00"/>
    <w:rsid w:val="00EE6733"/>
    <w:rsid w:val="00EE7EE8"/>
    <w:rsid w:val="00EF5A4C"/>
    <w:rsid w:val="00EF66C9"/>
    <w:rsid w:val="00EF7383"/>
    <w:rsid w:val="00EF7F6A"/>
    <w:rsid w:val="00F000ED"/>
    <w:rsid w:val="00F0048E"/>
    <w:rsid w:val="00F0058A"/>
    <w:rsid w:val="00F015F6"/>
    <w:rsid w:val="00F01FB5"/>
    <w:rsid w:val="00F129AE"/>
    <w:rsid w:val="00F22A58"/>
    <w:rsid w:val="00F24331"/>
    <w:rsid w:val="00F2542D"/>
    <w:rsid w:val="00F2756B"/>
    <w:rsid w:val="00F365F3"/>
    <w:rsid w:val="00F365F8"/>
    <w:rsid w:val="00F37381"/>
    <w:rsid w:val="00F41992"/>
    <w:rsid w:val="00F45497"/>
    <w:rsid w:val="00F45CFA"/>
    <w:rsid w:val="00F535C7"/>
    <w:rsid w:val="00F545E3"/>
    <w:rsid w:val="00F630DE"/>
    <w:rsid w:val="00F71AFC"/>
    <w:rsid w:val="00F76783"/>
    <w:rsid w:val="00F77848"/>
    <w:rsid w:val="00F77C28"/>
    <w:rsid w:val="00F80B89"/>
    <w:rsid w:val="00F869E0"/>
    <w:rsid w:val="00F90E45"/>
    <w:rsid w:val="00F93530"/>
    <w:rsid w:val="00F95B2A"/>
    <w:rsid w:val="00F95F58"/>
    <w:rsid w:val="00F973F9"/>
    <w:rsid w:val="00F97F71"/>
    <w:rsid w:val="00FA0209"/>
    <w:rsid w:val="00FA5F8C"/>
    <w:rsid w:val="00FA7C62"/>
    <w:rsid w:val="00FB12A6"/>
    <w:rsid w:val="00FB15CC"/>
    <w:rsid w:val="00FB709D"/>
    <w:rsid w:val="00FC0318"/>
    <w:rsid w:val="00FC154E"/>
    <w:rsid w:val="00FD18AF"/>
    <w:rsid w:val="00FD3B07"/>
    <w:rsid w:val="00FD47C6"/>
    <w:rsid w:val="00FD4CAD"/>
    <w:rsid w:val="00FD589C"/>
    <w:rsid w:val="00FE5FB6"/>
    <w:rsid w:val="00FE6D7E"/>
    <w:rsid w:val="00FE767E"/>
    <w:rsid w:val="00FF05D4"/>
    <w:rsid w:val="00FF58AA"/>
    <w:rsid w:val="00FF711A"/>
    <w:rsid w:val="29C5031A"/>
    <w:rsid w:val="657709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contacts" w:name="middlename"/>
  <w:smartTagType w:namespaceuri="urn:schemas:contacts" w:name="GivenNam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82B"/>
    <w:rPr>
      <w:sz w:val="24"/>
      <w:szCs w:val="24"/>
      <w:lang w:val="en-US" w:eastAsia="en-US"/>
    </w:rPr>
  </w:style>
  <w:style w:type="paragraph" w:styleId="Titre1">
    <w:name w:val="heading 1"/>
    <w:basedOn w:val="Normal"/>
    <w:qFormat/>
    <w:rsid w:val="008E382B"/>
    <w:pPr>
      <w:spacing w:before="100" w:beforeAutospacing="1" w:after="100" w:afterAutospacing="1"/>
      <w:outlineLvl w:val="0"/>
    </w:pPr>
    <w:rPr>
      <w:b/>
      <w:bCs/>
      <w:kern w:val="36"/>
      <w:sz w:val="48"/>
      <w:szCs w:val="48"/>
    </w:rPr>
  </w:style>
  <w:style w:type="paragraph" w:styleId="Titre2">
    <w:name w:val="heading 2"/>
    <w:basedOn w:val="Normal"/>
    <w:next w:val="Normal"/>
    <w:qFormat/>
    <w:rsid w:val="008E382B"/>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8E382B"/>
  </w:style>
  <w:style w:type="character" w:styleId="Marquedecommentaire">
    <w:name w:val="annotation reference"/>
    <w:basedOn w:val="Policepardfaut"/>
    <w:semiHidden/>
    <w:rsid w:val="008E382B"/>
    <w:rPr>
      <w:sz w:val="18"/>
      <w:szCs w:val="18"/>
    </w:rPr>
  </w:style>
  <w:style w:type="character" w:styleId="Lienhypertexte">
    <w:name w:val="Hyperlink"/>
    <w:basedOn w:val="Policepardfaut"/>
    <w:rsid w:val="008E382B"/>
    <w:rPr>
      <w:color w:val="0000FF"/>
      <w:u w:val="single"/>
    </w:rPr>
  </w:style>
  <w:style w:type="character" w:styleId="Accentuation">
    <w:name w:val="Emphasis"/>
    <w:basedOn w:val="Policepardfaut"/>
    <w:qFormat/>
    <w:rsid w:val="008E382B"/>
    <w:rPr>
      <w:i/>
      <w:iCs/>
    </w:rPr>
  </w:style>
  <w:style w:type="character" w:customStyle="1" w:styleId="17">
    <w:name w:val="17"/>
    <w:basedOn w:val="Policepardfaut"/>
    <w:rsid w:val="008E382B"/>
    <w:rPr>
      <w:rFonts w:ascii="Times New Roman" w:hAnsi="Times New Roman" w:cs="Times New Roman" w:hint="default"/>
      <w:color w:val="228622"/>
    </w:rPr>
  </w:style>
  <w:style w:type="character" w:customStyle="1" w:styleId="search1">
    <w:name w:val="search1"/>
    <w:basedOn w:val="Policepardfaut"/>
    <w:rsid w:val="008E382B"/>
    <w:rPr>
      <w:color w:val="228622"/>
    </w:rPr>
  </w:style>
  <w:style w:type="character" w:customStyle="1" w:styleId="apple-converted-space">
    <w:name w:val="apple-converted-space"/>
    <w:basedOn w:val="Policepardfaut"/>
    <w:rsid w:val="008E382B"/>
  </w:style>
  <w:style w:type="character" w:customStyle="1" w:styleId="CommentaireCar">
    <w:name w:val="Commentaire Car"/>
    <w:basedOn w:val="Policepardfaut"/>
    <w:link w:val="Commentaire"/>
    <w:rsid w:val="008E382B"/>
    <w:rPr>
      <w:rFonts w:eastAsia="SimSun"/>
      <w:lang w:val="en-US" w:eastAsia="en-US" w:bidi="ar-SA"/>
    </w:rPr>
  </w:style>
  <w:style w:type="character" w:customStyle="1" w:styleId="16">
    <w:name w:val="16"/>
    <w:basedOn w:val="Policepardfaut"/>
    <w:rsid w:val="008E382B"/>
    <w:rPr>
      <w:rFonts w:ascii="Times New Roman" w:hAnsi="Times New Roman" w:cs="Times New Roman" w:hint="default"/>
      <w:i/>
      <w:iCs/>
    </w:rPr>
  </w:style>
  <w:style w:type="paragraph" w:styleId="Corpsdetexte">
    <w:name w:val="Body Text"/>
    <w:basedOn w:val="Normal"/>
    <w:rsid w:val="008E382B"/>
    <w:pPr>
      <w:spacing w:after="120"/>
    </w:pPr>
  </w:style>
  <w:style w:type="paragraph" w:styleId="Retraitcorpsdetexte">
    <w:name w:val="Body Text Indent"/>
    <w:basedOn w:val="Normal"/>
    <w:rsid w:val="008E382B"/>
    <w:pPr>
      <w:ind w:firstLine="709"/>
      <w:jc w:val="lowKashida"/>
    </w:pPr>
    <w:rPr>
      <w:rFonts w:cs="Traditional Arabic"/>
      <w:sz w:val="28"/>
      <w:szCs w:val="33"/>
    </w:rPr>
  </w:style>
  <w:style w:type="paragraph" w:styleId="En-tte">
    <w:name w:val="header"/>
    <w:rsid w:val="008E382B"/>
    <w:pPr>
      <w:tabs>
        <w:tab w:val="center" w:pos="4153"/>
        <w:tab w:val="right" w:pos="8306"/>
      </w:tabs>
      <w:snapToGrid w:val="0"/>
    </w:pPr>
    <w:rPr>
      <w:rFonts w:eastAsia="Times New Roman"/>
      <w:sz w:val="18"/>
      <w:szCs w:val="18"/>
      <w:lang w:val="en-US" w:eastAsia="zh-CN"/>
    </w:rPr>
  </w:style>
  <w:style w:type="paragraph" w:styleId="Pieddepage">
    <w:name w:val="footer"/>
    <w:basedOn w:val="Normal"/>
    <w:rsid w:val="008E382B"/>
    <w:pPr>
      <w:tabs>
        <w:tab w:val="center" w:pos="4153"/>
        <w:tab w:val="right" w:pos="8306"/>
      </w:tabs>
      <w:snapToGrid w:val="0"/>
    </w:pPr>
    <w:rPr>
      <w:sz w:val="18"/>
      <w:szCs w:val="18"/>
    </w:rPr>
  </w:style>
  <w:style w:type="paragraph" w:styleId="Commentaire">
    <w:name w:val="annotation text"/>
    <w:basedOn w:val="Normal"/>
    <w:link w:val="CommentaireCar"/>
    <w:rsid w:val="008E382B"/>
    <w:rPr>
      <w:sz w:val="20"/>
      <w:szCs w:val="20"/>
    </w:rPr>
  </w:style>
  <w:style w:type="paragraph" w:customStyle="1" w:styleId="font5">
    <w:name w:val="font5"/>
    <w:basedOn w:val="Normal"/>
    <w:rsid w:val="008E382B"/>
    <w:pPr>
      <w:spacing w:before="100" w:beforeAutospacing="1" w:after="100" w:afterAutospacing="1"/>
    </w:pPr>
    <w:rPr>
      <w:rFonts w:ascii="Arial" w:hAnsi="Arial" w:cs="Traditional Arabic"/>
      <w:szCs w:val="28"/>
    </w:rPr>
  </w:style>
  <w:style w:type="table" w:styleId="Grilledutableau">
    <w:name w:val="Table Grid"/>
    <w:basedOn w:val="TableauNormal"/>
    <w:rsid w:val="008E3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5D0421"/>
    <w:rPr>
      <w:rFonts w:ascii="Calibri" w:eastAsia="Calibri" w:hAnsi="Calibri"/>
      <w:sz w:val="22"/>
      <w:szCs w:val="22"/>
      <w:lang w:val="en-US" w:eastAsia="en-US"/>
    </w:rPr>
  </w:style>
  <w:style w:type="paragraph" w:styleId="Textedebulles">
    <w:name w:val="Balloon Text"/>
    <w:basedOn w:val="Normal"/>
    <w:link w:val="TextedebullesCar"/>
    <w:rsid w:val="002867CD"/>
    <w:rPr>
      <w:rFonts w:ascii="Tahoma" w:hAnsi="Tahoma" w:cs="Tahoma"/>
      <w:sz w:val="16"/>
      <w:szCs w:val="16"/>
    </w:rPr>
  </w:style>
  <w:style w:type="character" w:customStyle="1" w:styleId="TextedebullesCar">
    <w:name w:val="Texte de bulles Car"/>
    <w:basedOn w:val="Policepardfaut"/>
    <w:link w:val="Textedebulles"/>
    <w:rsid w:val="002867C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53976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490@gmail.com" TargetMode="Externa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www.sciencedirect.com/science/article/pii/S0304423815302521" TargetMode="External"/><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sciencedirect.com/science/article/pii/S0304423815302521" TargetMode="External"/><Relationship Id="rId33" Type="http://schemas.openxmlformats.org/officeDocument/2006/relationships/hyperlink" Target="http://www.jmaterenvironsci.com/"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www.sciencedirect.com/science/article/pii/S03044238153025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www.ncbi.nlm.nih.gov/pubmed/?term=Khemira%20H%5Bauth%5D" TargetMode="External"/><Relationship Id="rId32" Type="http://schemas.openxmlformats.org/officeDocument/2006/relationships/hyperlink" Target="http://www.sciencedirect.com/science/journal/03044238/197/supp/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www.ncbi.nlm.nih.gov/pubmed/?term=Tounekti%20T%5Bauth%5D" TargetMode="External"/><Relationship Id="rId28" Type="http://schemas.openxmlformats.org/officeDocument/2006/relationships/hyperlink" Target="http://www.sciencedirect.com/science/article/pii/S0304423815302521" TargetMode="External"/><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yperlink" Target="http://www.sciencedirect.com/science/article/pii/S0304423815302521"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mailto:liangcy618@aliyun.com" TargetMode="External"/><Relationship Id="rId30" Type="http://schemas.openxmlformats.org/officeDocument/2006/relationships/hyperlink" Target="http://www.sciencedirect.com/science/article/pii/S0304423815302521"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2772</Words>
  <Characters>15248</Characters>
  <Application>Microsoft Office Word</Application>
  <DocSecurity>0</DocSecurity>
  <PresentationFormat/>
  <Lines>127</Lines>
  <Paragraphs>35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Effect of saline conditions and cobalt on growth and chemical constituents of black seed plants</vt:lpstr>
    </vt:vector>
  </TitlesOfParts>
  <Company>NRC</Company>
  <LinksUpToDate>false</LinksUpToDate>
  <CharactersWithSpaces>17985</CharactersWithSpaces>
  <SharedDoc>false</SharedDoc>
  <HLinks>
    <vt:vector size="72" baseType="variant">
      <vt:variant>
        <vt:i4>4653127</vt:i4>
      </vt:variant>
      <vt:variant>
        <vt:i4>33</vt:i4>
      </vt:variant>
      <vt:variant>
        <vt:i4>0</vt:i4>
      </vt:variant>
      <vt:variant>
        <vt:i4>5</vt:i4>
      </vt:variant>
      <vt:variant>
        <vt:lpwstr>http://www.jmaterenvironsci.com/</vt:lpwstr>
      </vt:variant>
      <vt:variant>
        <vt:lpwstr/>
      </vt:variant>
      <vt:variant>
        <vt:i4>1572880</vt:i4>
      </vt:variant>
      <vt:variant>
        <vt:i4>30</vt:i4>
      </vt:variant>
      <vt:variant>
        <vt:i4>0</vt:i4>
      </vt:variant>
      <vt:variant>
        <vt:i4>5</vt:i4>
      </vt:variant>
      <vt:variant>
        <vt:lpwstr>http://www.sciencedirect.com/science/journal/03044238/197/supp/C</vt:lpwstr>
      </vt:variant>
      <vt:variant>
        <vt:lpwstr/>
      </vt:variant>
      <vt:variant>
        <vt:i4>2621567</vt:i4>
      </vt:variant>
      <vt:variant>
        <vt:i4>27</vt:i4>
      </vt:variant>
      <vt:variant>
        <vt:i4>0</vt:i4>
      </vt:variant>
      <vt:variant>
        <vt:i4>5</vt:i4>
      </vt:variant>
      <vt:variant>
        <vt:lpwstr>http://www.sciencedirect.com/science/article/pii/S0304423815302521</vt:lpwstr>
      </vt:variant>
      <vt:variant>
        <vt:lpwstr/>
      </vt:variant>
      <vt:variant>
        <vt:i4>2621567</vt:i4>
      </vt:variant>
      <vt:variant>
        <vt:i4>24</vt:i4>
      </vt:variant>
      <vt:variant>
        <vt:i4>0</vt:i4>
      </vt:variant>
      <vt:variant>
        <vt:i4>5</vt:i4>
      </vt:variant>
      <vt:variant>
        <vt:lpwstr>http://www.sciencedirect.com/science/article/pii/S0304423815302521</vt:lpwstr>
      </vt:variant>
      <vt:variant>
        <vt:lpwstr/>
      </vt:variant>
      <vt:variant>
        <vt:i4>2621567</vt:i4>
      </vt:variant>
      <vt:variant>
        <vt:i4>21</vt:i4>
      </vt:variant>
      <vt:variant>
        <vt:i4>0</vt:i4>
      </vt:variant>
      <vt:variant>
        <vt:i4>5</vt:i4>
      </vt:variant>
      <vt:variant>
        <vt:lpwstr>http://www.sciencedirect.com/science/article/pii/S0304423815302521</vt:lpwstr>
      </vt:variant>
      <vt:variant>
        <vt:lpwstr/>
      </vt:variant>
      <vt:variant>
        <vt:i4>2621567</vt:i4>
      </vt:variant>
      <vt:variant>
        <vt:i4>18</vt:i4>
      </vt:variant>
      <vt:variant>
        <vt:i4>0</vt:i4>
      </vt:variant>
      <vt:variant>
        <vt:i4>5</vt:i4>
      </vt:variant>
      <vt:variant>
        <vt:lpwstr>http://www.sciencedirect.com/science/article/pii/S0304423815302521</vt:lpwstr>
      </vt:variant>
      <vt:variant>
        <vt:lpwstr/>
      </vt:variant>
      <vt:variant>
        <vt:i4>7667740</vt:i4>
      </vt:variant>
      <vt:variant>
        <vt:i4>15</vt:i4>
      </vt:variant>
      <vt:variant>
        <vt:i4>0</vt:i4>
      </vt:variant>
      <vt:variant>
        <vt:i4>5</vt:i4>
      </vt:variant>
      <vt:variant>
        <vt:lpwstr>mailto:liangcy618@aliyun.com</vt:lpwstr>
      </vt:variant>
      <vt:variant>
        <vt:lpwstr/>
      </vt:variant>
      <vt:variant>
        <vt:i4>4653150</vt:i4>
      </vt:variant>
      <vt:variant>
        <vt:i4>12</vt:i4>
      </vt:variant>
      <vt:variant>
        <vt:i4>0</vt:i4>
      </vt:variant>
      <vt:variant>
        <vt:i4>5</vt:i4>
      </vt:variant>
      <vt:variant>
        <vt:lpwstr>http://www.sciencedirect.com/science/article/pii/S0304423815302521</vt:lpwstr>
      </vt:variant>
      <vt:variant>
        <vt:lpwstr>cor0005</vt:lpwstr>
      </vt:variant>
      <vt:variant>
        <vt:i4>2621567</vt:i4>
      </vt:variant>
      <vt:variant>
        <vt:i4>9</vt:i4>
      </vt:variant>
      <vt:variant>
        <vt:i4>0</vt:i4>
      </vt:variant>
      <vt:variant>
        <vt:i4>5</vt:i4>
      </vt:variant>
      <vt:variant>
        <vt:lpwstr>http://www.sciencedirect.com/science/article/pii/S0304423815302521</vt:lpwstr>
      </vt:variant>
      <vt:variant>
        <vt:lpwstr/>
      </vt:variant>
      <vt:variant>
        <vt:i4>3801120</vt:i4>
      </vt:variant>
      <vt:variant>
        <vt:i4>6</vt:i4>
      </vt:variant>
      <vt:variant>
        <vt:i4>0</vt:i4>
      </vt:variant>
      <vt:variant>
        <vt:i4>5</vt:i4>
      </vt:variant>
      <vt:variant>
        <vt:lpwstr>http://www.ncbi.nlm.nih.gov/pubmed/?term=Khemira%20H%5Bauth%5D</vt:lpwstr>
      </vt:variant>
      <vt:variant>
        <vt:lpwstr/>
      </vt:variant>
      <vt:variant>
        <vt:i4>7143533</vt:i4>
      </vt:variant>
      <vt:variant>
        <vt:i4>3</vt:i4>
      </vt:variant>
      <vt:variant>
        <vt:i4>0</vt:i4>
      </vt:variant>
      <vt:variant>
        <vt:i4>5</vt:i4>
      </vt:variant>
      <vt:variant>
        <vt:lpwstr>http://www.ncbi.nlm.nih.gov/pubmed/?term=Tounekti%20T%5Bauth%5D</vt:lpwstr>
      </vt:variant>
      <vt:variant>
        <vt:lpwstr/>
      </vt:variant>
      <vt:variant>
        <vt:i4>3539018</vt:i4>
      </vt:variant>
      <vt:variant>
        <vt:i4>0</vt:i4>
      </vt:variant>
      <vt:variant>
        <vt:i4>0</vt:i4>
      </vt:variant>
      <vt:variant>
        <vt:i4>5</vt:i4>
      </vt:variant>
      <vt:variant>
        <vt:lpwstr>mailto:ahmed490@gmail.com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saline conditions and cobalt on growth and chemical constituents of black seed plants</dc:title>
  <dc:creator>KHALID</dc:creator>
  <cp:lastModifiedBy>hp-pro</cp:lastModifiedBy>
  <cp:revision>2</cp:revision>
  <cp:lastPrinted>2016-11-27T09:51:00Z</cp:lastPrinted>
  <dcterms:created xsi:type="dcterms:W3CDTF">2016-11-27T09:51:00Z</dcterms:created>
  <dcterms:modified xsi:type="dcterms:W3CDTF">2016-11-27T09:51:00Z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